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449CDB" w14:textId="77777777" w:rsidR="00E746C8" w:rsidRDefault="00E746C8">
      <w:pPr>
        <w:pStyle w:val="Corpotesto"/>
        <w:rPr>
          <w:rFonts w:ascii="Calibri" w:hAnsi="Calibri"/>
        </w:rPr>
      </w:pPr>
    </w:p>
    <w:tbl>
      <w:tblPr>
        <w:tblStyle w:val="TableNormal"/>
        <w:tblW w:w="9051"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51"/>
      </w:tblGrid>
      <w:tr w:rsidR="00E746C8" w14:paraId="48027790" w14:textId="77777777">
        <w:trPr>
          <w:trHeight w:val="580"/>
        </w:trPr>
        <w:tc>
          <w:tcPr>
            <w:tcW w:w="9051" w:type="dxa"/>
            <w:tcBorders>
              <w:top w:val="nil"/>
              <w:left w:val="nil"/>
              <w:bottom w:val="nil"/>
              <w:right w:val="nil"/>
            </w:tcBorders>
            <w:shd w:val="clear" w:color="auto" w:fill="EEECE1"/>
            <w:tcMar>
              <w:top w:w="80" w:type="dxa"/>
              <w:left w:w="80" w:type="dxa"/>
              <w:bottom w:w="80" w:type="dxa"/>
              <w:right w:w="80" w:type="dxa"/>
            </w:tcMar>
          </w:tcPr>
          <w:p w14:paraId="50426C3A" w14:textId="77777777" w:rsidR="00E746C8" w:rsidRDefault="006002D2">
            <w:pPr>
              <w:pStyle w:val="Default"/>
              <w:jc w:val="center"/>
            </w:pPr>
            <w:r>
              <w:t>SCHEDA DI MONITORAGGIO ANNUALE (SMA)</w:t>
            </w:r>
          </w:p>
          <w:p w14:paraId="1F3ED1C7" w14:textId="77777777" w:rsidR="00E746C8" w:rsidRDefault="006002D2">
            <w:pPr>
              <w:pStyle w:val="Default"/>
              <w:jc w:val="center"/>
            </w:pPr>
            <w:r>
              <w:rPr>
                <w:i/>
                <w:iCs/>
              </w:rPr>
              <w:t>Scuola di Studi Umanistici e della Formazione</w:t>
            </w:r>
          </w:p>
        </w:tc>
      </w:tr>
    </w:tbl>
    <w:p w14:paraId="21B1B8F7" w14:textId="77777777" w:rsidR="00E746C8" w:rsidRDefault="00E746C8">
      <w:pPr>
        <w:pStyle w:val="Corpotesto"/>
        <w:widowControl w:val="0"/>
        <w:spacing w:line="240" w:lineRule="auto"/>
        <w:ind w:left="130" w:hanging="130"/>
        <w:rPr>
          <w:rFonts w:ascii="Calibri" w:eastAsia="Calibri" w:hAnsi="Calibri" w:cs="Calibri"/>
        </w:rPr>
      </w:pPr>
    </w:p>
    <w:p w14:paraId="3A11938E" w14:textId="77777777" w:rsidR="00E746C8" w:rsidRDefault="00E746C8">
      <w:pPr>
        <w:pStyle w:val="Corpotesto"/>
        <w:widowControl w:val="0"/>
        <w:spacing w:line="240" w:lineRule="auto"/>
        <w:ind w:left="22" w:hanging="22"/>
        <w:rPr>
          <w:rFonts w:ascii="Calibri" w:eastAsia="Calibri" w:hAnsi="Calibri" w:cs="Calibri"/>
        </w:rPr>
      </w:pPr>
    </w:p>
    <w:p w14:paraId="4F566E6D" w14:textId="77777777" w:rsidR="00E746C8" w:rsidRDefault="00E746C8">
      <w:pPr>
        <w:pStyle w:val="Corpotesto"/>
        <w:rPr>
          <w:rFonts w:ascii="Calibri" w:eastAsia="Calibri" w:hAnsi="Calibri" w:cs="Calibri"/>
        </w:rPr>
      </w:pPr>
    </w:p>
    <w:p w14:paraId="41D71C25" w14:textId="77777777" w:rsidR="00E746C8" w:rsidRDefault="00E746C8">
      <w:pPr>
        <w:pStyle w:val="Corpotesto"/>
        <w:rPr>
          <w:rFonts w:ascii="Calibri" w:eastAsia="Calibri" w:hAnsi="Calibri" w:cs="Calibri"/>
        </w:rPr>
      </w:pPr>
    </w:p>
    <w:tbl>
      <w:tblPr>
        <w:tblStyle w:val="TableNormal"/>
        <w:tblW w:w="90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35"/>
      </w:tblGrid>
      <w:tr w:rsidR="00E746C8" w14:paraId="36F99DB8" w14:textId="77777777">
        <w:trPr>
          <w:trHeight w:val="580"/>
        </w:trPr>
        <w:tc>
          <w:tcPr>
            <w:tcW w:w="9035" w:type="dxa"/>
            <w:tcBorders>
              <w:top w:val="single" w:sz="4" w:space="0" w:color="000001"/>
              <w:left w:val="single" w:sz="4" w:space="0" w:color="000001"/>
              <w:bottom w:val="single" w:sz="4" w:space="0" w:color="000001"/>
              <w:right w:val="single" w:sz="4" w:space="0" w:color="000001"/>
            </w:tcBorders>
            <w:shd w:val="clear" w:color="auto" w:fill="EEECE1"/>
            <w:tcMar>
              <w:top w:w="80" w:type="dxa"/>
              <w:left w:w="80" w:type="dxa"/>
              <w:bottom w:w="80" w:type="dxa"/>
              <w:right w:w="80" w:type="dxa"/>
            </w:tcMar>
          </w:tcPr>
          <w:p w14:paraId="745F9B65" w14:textId="77777777" w:rsidR="00E746C8" w:rsidRDefault="006002D2">
            <w:pPr>
              <w:jc w:val="center"/>
              <w:rPr>
                <w:rFonts w:ascii="Calibri" w:eastAsia="Calibri" w:hAnsi="Calibri" w:cs="Calibri"/>
                <w:b/>
                <w:bCs/>
              </w:rPr>
            </w:pPr>
            <w:proofErr w:type="spellStart"/>
            <w:r>
              <w:rPr>
                <w:rFonts w:ascii="Calibri" w:hAnsi="Calibri"/>
                <w:b/>
                <w:bCs/>
              </w:rPr>
              <w:t>CdS</w:t>
            </w:r>
            <w:proofErr w:type="spellEnd"/>
            <w:r>
              <w:rPr>
                <w:rFonts w:ascii="Calibri" w:hAnsi="Calibri"/>
                <w:b/>
                <w:bCs/>
              </w:rPr>
              <w:t xml:space="preserve"> LM 57/85</w:t>
            </w:r>
          </w:p>
          <w:p w14:paraId="12D9575F" w14:textId="77777777" w:rsidR="00E746C8" w:rsidRDefault="006002D2">
            <w:pPr>
              <w:jc w:val="center"/>
            </w:pPr>
            <w:r>
              <w:rPr>
                <w:rFonts w:ascii="Calibri" w:hAnsi="Calibri"/>
                <w:b/>
                <w:bCs/>
              </w:rPr>
              <w:t>Scienze dell’Educazione degli Adulti, Formazione continua e Scienze Pedagogiche</w:t>
            </w:r>
          </w:p>
        </w:tc>
      </w:tr>
    </w:tbl>
    <w:p w14:paraId="21247D41" w14:textId="77777777" w:rsidR="00E746C8" w:rsidRDefault="00E746C8">
      <w:pPr>
        <w:pStyle w:val="Corpotesto"/>
        <w:widowControl w:val="0"/>
        <w:spacing w:line="240" w:lineRule="auto"/>
        <w:ind w:left="108" w:hanging="108"/>
        <w:rPr>
          <w:rFonts w:ascii="Calibri" w:eastAsia="Calibri" w:hAnsi="Calibri" w:cs="Calibri"/>
        </w:rPr>
      </w:pPr>
    </w:p>
    <w:p w14:paraId="0FE5DF30" w14:textId="77777777" w:rsidR="00E746C8" w:rsidRDefault="00E746C8">
      <w:pPr>
        <w:pStyle w:val="Default"/>
        <w:rPr>
          <w:i/>
          <w:iCs/>
        </w:rPr>
      </w:pPr>
    </w:p>
    <w:p w14:paraId="00AFED3D" w14:textId="77777777" w:rsidR="00E746C8" w:rsidRDefault="006002D2">
      <w:pPr>
        <w:pStyle w:val="Default"/>
        <w:rPr>
          <w:i/>
          <w:iCs/>
        </w:rPr>
      </w:pPr>
      <w:r>
        <w:rPr>
          <w:i/>
          <w:iCs/>
        </w:rPr>
        <w:t xml:space="preserve">Indicare la composizione del Gruppo di Riesame e le date di discussione della Scheda nel </w:t>
      </w:r>
      <w:proofErr w:type="spellStart"/>
      <w:r>
        <w:rPr>
          <w:i/>
          <w:iCs/>
        </w:rPr>
        <w:t>Gdr</w:t>
      </w:r>
      <w:proofErr w:type="spellEnd"/>
      <w:r>
        <w:rPr>
          <w:i/>
          <w:iCs/>
        </w:rPr>
        <w:t xml:space="preserve"> e nel Consiglio di corso di laurea</w:t>
      </w:r>
    </w:p>
    <w:p w14:paraId="782CE47F" w14:textId="77777777" w:rsidR="00E746C8" w:rsidRDefault="00E746C8">
      <w:pPr>
        <w:pStyle w:val="Default"/>
      </w:pPr>
    </w:p>
    <w:p w14:paraId="6D46C3D6" w14:textId="77777777" w:rsidR="00E746C8" w:rsidRDefault="006002D2">
      <w:pPr>
        <w:pStyle w:val="Default"/>
      </w:pPr>
      <w:r>
        <w:t>Il Gruppo di Riesame è costituito da:</w:t>
      </w:r>
    </w:p>
    <w:p w14:paraId="4ED3DD1B" w14:textId="77777777" w:rsidR="00E746C8" w:rsidRDefault="006002D2">
      <w:pPr>
        <w:pStyle w:val="Default"/>
      </w:pPr>
      <w:r>
        <w:t xml:space="preserve">Prof.ssa Vanna Boffo – Presidente del </w:t>
      </w:r>
      <w:proofErr w:type="spellStart"/>
      <w:r>
        <w:t>CdS</w:t>
      </w:r>
      <w:proofErr w:type="spellEnd"/>
      <w:r>
        <w:t xml:space="preserve"> – Responsabile del Riesame</w:t>
      </w:r>
    </w:p>
    <w:p w14:paraId="30D63218" w14:textId="77777777" w:rsidR="00E746C8" w:rsidRDefault="006002D2">
      <w:pPr>
        <w:pStyle w:val="Default"/>
      </w:pPr>
      <w:r>
        <w:t>Prof.ssa Giovanna Del Gobbo – Referente AQ</w:t>
      </w:r>
    </w:p>
    <w:p w14:paraId="244CA208" w14:textId="5E96552C" w:rsidR="00E746C8" w:rsidRDefault="006002D2">
      <w:pPr>
        <w:pStyle w:val="Default"/>
      </w:pPr>
      <w:r>
        <w:t xml:space="preserve">Prof.ssa Daniela Frison </w:t>
      </w:r>
      <w:r w:rsidR="007C3521">
        <w:t>–</w:t>
      </w:r>
      <w:r>
        <w:t xml:space="preserve"> Membro</w:t>
      </w:r>
    </w:p>
    <w:p w14:paraId="7558E16A" w14:textId="768A404E" w:rsidR="007C3521" w:rsidRDefault="007C3521">
      <w:pPr>
        <w:pStyle w:val="Default"/>
      </w:pPr>
      <w:r>
        <w:t xml:space="preserve">Dott.ssa Glenda </w:t>
      </w:r>
      <w:r w:rsidR="003C04AE">
        <w:t>G</w:t>
      </w:r>
      <w:r>
        <w:t>aleotti - Membro</w:t>
      </w:r>
    </w:p>
    <w:p w14:paraId="2AF0C22F" w14:textId="749675E6" w:rsidR="00E746C8" w:rsidRDefault="006002D2">
      <w:pPr>
        <w:pStyle w:val="Default"/>
      </w:pPr>
      <w:r>
        <w:t xml:space="preserve">Dott.ssa </w:t>
      </w:r>
      <w:r w:rsidR="007C3521">
        <w:t xml:space="preserve">Lorenza </w:t>
      </w:r>
      <w:proofErr w:type="spellStart"/>
      <w:r w:rsidR="007C3521">
        <w:t>Gamannossi</w:t>
      </w:r>
      <w:proofErr w:type="spellEnd"/>
      <w:r>
        <w:t>– Segreteria didattica</w:t>
      </w:r>
    </w:p>
    <w:p w14:paraId="71563E2B" w14:textId="4B35F5AF" w:rsidR="00E746C8" w:rsidRDefault="006002D2">
      <w:pPr>
        <w:pStyle w:val="Default"/>
      </w:pPr>
      <w:r w:rsidRPr="007C3521">
        <w:rPr>
          <w:highlight w:val="yellow"/>
        </w:rPr>
        <w:t>Dott.ssa Sasha De Rosa – Rappresentanti degli studenti (dal 28 maggio 2019)</w:t>
      </w:r>
    </w:p>
    <w:p w14:paraId="149BE133" w14:textId="77777777" w:rsidR="00E746C8" w:rsidRDefault="00E746C8">
      <w:pPr>
        <w:pStyle w:val="Default"/>
      </w:pPr>
    </w:p>
    <w:p w14:paraId="3B1B1275" w14:textId="77777777" w:rsidR="00E746C8" w:rsidRDefault="006002D2">
      <w:pPr>
        <w:pStyle w:val="Default"/>
      </w:pPr>
      <w:r>
        <w:t>La Scheda di Riesame è stata discussa:</w:t>
      </w:r>
    </w:p>
    <w:p w14:paraId="189FDD6F" w14:textId="3BADC393" w:rsidR="00E746C8" w:rsidRDefault="006002D2">
      <w:pPr>
        <w:pStyle w:val="Default"/>
        <w:numPr>
          <w:ilvl w:val="0"/>
          <w:numId w:val="2"/>
        </w:numPr>
      </w:pPr>
      <w:r>
        <w:t xml:space="preserve">Nel </w:t>
      </w:r>
      <w:proofErr w:type="spellStart"/>
      <w:r>
        <w:t>GdR</w:t>
      </w:r>
      <w:proofErr w:type="spellEnd"/>
      <w:r>
        <w:t>: 2</w:t>
      </w:r>
      <w:r w:rsidR="007C3521">
        <w:t>8</w:t>
      </w:r>
      <w:r>
        <w:t>/1</w:t>
      </w:r>
      <w:r w:rsidR="007C3521">
        <w:t>0</w:t>
      </w:r>
      <w:r>
        <w:t>/20</w:t>
      </w:r>
      <w:r w:rsidR="007C3521">
        <w:t>20</w:t>
      </w:r>
    </w:p>
    <w:p w14:paraId="47FEB760" w14:textId="7F81F6F4" w:rsidR="00E746C8" w:rsidRDefault="006002D2">
      <w:pPr>
        <w:pStyle w:val="Default"/>
        <w:numPr>
          <w:ilvl w:val="0"/>
          <w:numId w:val="2"/>
        </w:numPr>
      </w:pPr>
      <w:r>
        <w:t xml:space="preserve">Nel Consiglio di </w:t>
      </w:r>
      <w:proofErr w:type="spellStart"/>
      <w:r>
        <w:t>CdS</w:t>
      </w:r>
      <w:proofErr w:type="spellEnd"/>
      <w:r>
        <w:t xml:space="preserve">: </w:t>
      </w:r>
      <w:r w:rsidR="007C3521">
        <w:t>18</w:t>
      </w:r>
      <w:r>
        <w:t>/11/20</w:t>
      </w:r>
      <w:r w:rsidR="007C3521">
        <w:t>20</w:t>
      </w:r>
    </w:p>
    <w:p w14:paraId="11CDC5BB" w14:textId="77777777" w:rsidR="00E746C8" w:rsidRDefault="00E746C8">
      <w:pPr>
        <w:pStyle w:val="Default"/>
      </w:pPr>
    </w:p>
    <w:p w14:paraId="1E2740F9" w14:textId="77777777" w:rsidR="00E746C8" w:rsidRDefault="00E746C8">
      <w:pPr>
        <w:pStyle w:val="Default"/>
      </w:pPr>
    </w:p>
    <w:p w14:paraId="62F4401C" w14:textId="77777777" w:rsidR="00E746C8" w:rsidRDefault="006002D2">
      <w:pPr>
        <w:pStyle w:val="Default"/>
        <w:rPr>
          <w:b/>
          <w:bCs/>
        </w:rPr>
      </w:pPr>
      <w:r>
        <w:rPr>
          <w:b/>
          <w:bCs/>
        </w:rPr>
        <w:t>Commenti ai dati della SMA: dati generali (da iC00a a iC00h)</w:t>
      </w:r>
    </w:p>
    <w:p w14:paraId="4F4C6017" w14:textId="77777777" w:rsidR="00E746C8" w:rsidRDefault="00E746C8">
      <w:pPr>
        <w:pStyle w:val="Default"/>
      </w:pPr>
    </w:p>
    <w:p w14:paraId="400F3E1A" w14:textId="77777777" w:rsidR="00E746C8" w:rsidRDefault="006002D2">
      <w:pPr>
        <w:pStyle w:val="Default"/>
      </w:pPr>
      <w:r>
        <w:t xml:space="preserve">Si precisa che per il monitoraggio del </w:t>
      </w:r>
      <w:proofErr w:type="spellStart"/>
      <w:r>
        <w:t>CdS</w:t>
      </w:r>
      <w:proofErr w:type="spellEnd"/>
      <w:r>
        <w:t xml:space="preserve"> LM 57/85 sono stati considerati i dati aggiornati al </w:t>
      </w:r>
      <w:r w:rsidR="004F3355">
        <w:t>10</w:t>
      </w:r>
      <w:r>
        <w:t>/</w:t>
      </w:r>
      <w:r w:rsidR="004F3355">
        <w:t>10</w:t>
      </w:r>
      <w:r>
        <w:t>/20</w:t>
      </w:r>
      <w:r w:rsidR="004F3355">
        <w:t>20</w:t>
      </w:r>
      <w:r>
        <w:t>.</w:t>
      </w:r>
    </w:p>
    <w:p w14:paraId="3C6A0600" w14:textId="7A06E77E" w:rsidR="00E746C8" w:rsidRDefault="007C3521" w:rsidP="007C3521">
      <w:pPr>
        <w:pStyle w:val="Default"/>
      </w:pPr>
      <w:r>
        <w:t xml:space="preserve">Si conferma la presenza di un solo altro CDS nell’area geografica centro per la classe LM57 e di altri 7 per la classe LM 85. Non ci sono variazioni dal punto di vista nazionale: </w:t>
      </w:r>
      <w:r w:rsidR="006002D2">
        <w:t xml:space="preserve">la classe </w:t>
      </w:r>
      <w:r w:rsidR="006002D2" w:rsidRPr="00163E83">
        <w:t xml:space="preserve">LM57 vede </w:t>
      </w:r>
      <w:r w:rsidRPr="00163E83">
        <w:t>7</w:t>
      </w:r>
      <w:r w:rsidR="006002D2" w:rsidRPr="00163E83">
        <w:t xml:space="preserve"> Corsi </w:t>
      </w:r>
      <w:r w:rsidRPr="00163E83">
        <w:t>attivi</w:t>
      </w:r>
      <w:r w:rsidR="004A2003" w:rsidRPr="00163E83">
        <w:t xml:space="preserve"> mentre </w:t>
      </w:r>
      <w:r w:rsidR="006002D2" w:rsidRPr="00163E83">
        <w:t xml:space="preserve">la classe LM85 </w:t>
      </w:r>
      <w:r w:rsidR="004A2003" w:rsidRPr="00163E83">
        <w:t xml:space="preserve">ne </w:t>
      </w:r>
      <w:r w:rsidR="006002D2" w:rsidRPr="00163E83">
        <w:t>vede 23</w:t>
      </w:r>
      <w:r w:rsidR="004A2003" w:rsidRPr="00163E83">
        <w:t>.</w:t>
      </w:r>
    </w:p>
    <w:p w14:paraId="4A75090A" w14:textId="77777777" w:rsidR="00E746C8" w:rsidRDefault="00E746C8">
      <w:pPr>
        <w:pStyle w:val="Default"/>
      </w:pPr>
    </w:p>
    <w:p w14:paraId="06E892B6" w14:textId="782BED0A" w:rsidR="00E746C8" w:rsidRDefault="006002D2">
      <w:pPr>
        <w:pStyle w:val="Default"/>
      </w:pPr>
      <w:r>
        <w:t>Per il monitoraggio dei dati si stabilisce di considerare il triennio 201</w:t>
      </w:r>
      <w:r w:rsidR="007C3521">
        <w:t>7</w:t>
      </w:r>
      <w:r>
        <w:t xml:space="preserve"> - 201</w:t>
      </w:r>
      <w:r w:rsidR="009261A2">
        <w:t>9</w:t>
      </w:r>
      <w:r>
        <w:t xml:space="preserve">. In questo triennio è infatti possibile assistere ad una tendenza al riequilibrio tra le due classi. Nel 2015 si era infatti assistito ad un forte aumento di iscrizioni per la classe LM85 e una asimmetria nell’andamento. Il </w:t>
      </w:r>
      <w:proofErr w:type="spellStart"/>
      <w:r>
        <w:t>CdS</w:t>
      </w:r>
      <w:proofErr w:type="spellEnd"/>
      <w:r>
        <w:t xml:space="preserve"> aveva individuato tra i suoi obiettivi proprio una maggiore attenzione </w:t>
      </w:r>
      <w:r>
        <w:lastRenderedPageBreak/>
        <w:t>all’equilibrio tra le classi</w:t>
      </w:r>
      <w:r w:rsidR="009261A2">
        <w:t>,</w:t>
      </w:r>
      <w:r>
        <w:t xml:space="preserve"> anche attraverso un’attenta definizione degli obiettivi formativi e una più chiara composizione dell’offerta complessiva.</w:t>
      </w:r>
    </w:p>
    <w:p w14:paraId="23510DEF" w14:textId="77777777" w:rsidR="00E746C8" w:rsidRDefault="00E746C8">
      <w:pPr>
        <w:pStyle w:val="Default"/>
      </w:pPr>
    </w:p>
    <w:p w14:paraId="5217FBA9" w14:textId="41B7EA89" w:rsidR="00783EE8" w:rsidRPr="00163E83" w:rsidRDefault="006002D2">
      <w:pPr>
        <w:pStyle w:val="Default"/>
      </w:pPr>
      <w:r>
        <w:t xml:space="preserve">In merito </w:t>
      </w:r>
      <w:r w:rsidRPr="00163E83">
        <w:t>all’indicatore iC00a, gli avvii di carriera al primo anno confermano un regolare aumento per la LM57 dal 201</w:t>
      </w:r>
      <w:r w:rsidR="007C3521" w:rsidRPr="00163E83">
        <w:t>7</w:t>
      </w:r>
      <w:r w:rsidRPr="00163E83">
        <w:t xml:space="preserve"> al 201</w:t>
      </w:r>
      <w:r w:rsidR="007C3521" w:rsidRPr="00163E83">
        <w:t>9</w:t>
      </w:r>
      <w:r w:rsidRPr="00163E83">
        <w:t xml:space="preserve"> (da 2</w:t>
      </w:r>
      <w:r w:rsidR="007C3521" w:rsidRPr="00163E83">
        <w:t>9</w:t>
      </w:r>
      <w:r w:rsidRPr="00163E83">
        <w:t xml:space="preserve"> a </w:t>
      </w:r>
      <w:r w:rsidR="007C3521" w:rsidRPr="00163E83">
        <w:t>51</w:t>
      </w:r>
      <w:r w:rsidRPr="00163E83">
        <w:t xml:space="preserve">), </w:t>
      </w:r>
      <w:r w:rsidR="00783EE8" w:rsidRPr="00163E83">
        <w:t xml:space="preserve">raggiungendo un equilibro con il dato nazionale degli atenei non telematici e con gli avvii di carriera della LM85 che nel 2019 raggiunge le 54 unità (47 nel 2017 e 35 nel 2018). </w:t>
      </w:r>
    </w:p>
    <w:p w14:paraId="74FFB78A" w14:textId="7AA43EB9" w:rsidR="00A00912" w:rsidRPr="00163E83" w:rsidRDefault="00A00912">
      <w:pPr>
        <w:pStyle w:val="Default"/>
      </w:pPr>
      <w:r w:rsidRPr="00163E83">
        <w:t>Il regolare aumento per la LM57 riguarda anche l’indicatore iC00c, Iscritti per la prima volta a LM che passano da 16 del 2017 a 48</w:t>
      </w:r>
      <w:r w:rsidR="00163E83" w:rsidRPr="00163E83">
        <w:t xml:space="preserve"> del 2019</w:t>
      </w:r>
      <w:r w:rsidRPr="00163E83">
        <w:t>.</w:t>
      </w:r>
    </w:p>
    <w:p w14:paraId="7C7E6C2F" w14:textId="77777777" w:rsidR="009A5BE4" w:rsidRDefault="009A5BE4">
      <w:pPr>
        <w:pStyle w:val="Default"/>
        <w:rPr>
          <w:highlight w:val="yellow"/>
        </w:rPr>
      </w:pPr>
    </w:p>
    <w:p w14:paraId="7874AC20" w14:textId="0A072CAE" w:rsidR="00E746C8" w:rsidRDefault="006002D2">
      <w:pPr>
        <w:pStyle w:val="Default"/>
      </w:pPr>
      <w:r w:rsidRPr="00163E83">
        <w:t>Una tend</w:t>
      </w:r>
      <w:r w:rsidR="00753BE6" w:rsidRPr="00163E83">
        <w:t>e</w:t>
      </w:r>
      <w:r w:rsidRPr="00163E83">
        <w:t>nza al</w:t>
      </w:r>
      <w:r w:rsidR="009A5BE4" w:rsidRPr="00163E83">
        <w:t xml:space="preserve"> miglioramento per la LM57 è riscontrabile dall’esame </w:t>
      </w:r>
      <w:r w:rsidRPr="00163E83">
        <w:t>l’indicatore iC00f</w:t>
      </w:r>
      <w:r w:rsidR="00783EE8" w:rsidRPr="00163E83">
        <w:t xml:space="preserve">, </w:t>
      </w:r>
      <w:r w:rsidRPr="00163E83">
        <w:t xml:space="preserve">la percentuale di studenti regolari ai fini del costo standard </w:t>
      </w:r>
      <w:r w:rsidR="009A5BE4" w:rsidRPr="00163E83">
        <w:t xml:space="preserve">passa dal </w:t>
      </w:r>
      <w:r w:rsidR="008A4F12" w:rsidRPr="00163E83">
        <w:t>43,5% per il 2017, al 64,8</w:t>
      </w:r>
      <w:r w:rsidR="00163E83" w:rsidRPr="00163E83">
        <w:t>%</w:t>
      </w:r>
      <w:r w:rsidR="008A4F12" w:rsidRPr="00163E83">
        <w:t xml:space="preserve"> del 2019. Per la LM85 si registra una lieve flessione nell</w:t>
      </w:r>
      <w:r w:rsidRPr="00163E83">
        <w:t xml:space="preserve">a percentuale di studenti regolari, passando dal </w:t>
      </w:r>
      <w:r w:rsidR="008A4F12" w:rsidRPr="00163E83">
        <w:t>62,5</w:t>
      </w:r>
      <w:r w:rsidRPr="00163E83">
        <w:t xml:space="preserve">% </w:t>
      </w:r>
      <w:r w:rsidR="008A4F12" w:rsidRPr="00163E83">
        <w:t xml:space="preserve">del 2017 </w:t>
      </w:r>
      <w:r w:rsidRPr="00163E83">
        <w:t>al 5</w:t>
      </w:r>
      <w:r w:rsidR="008A4F12" w:rsidRPr="00163E83">
        <w:t>5</w:t>
      </w:r>
      <w:r w:rsidRPr="00163E83">
        <w:t>%</w:t>
      </w:r>
      <w:r w:rsidR="008A4F12" w:rsidRPr="00163E83">
        <w:t xml:space="preserve"> del 2019</w:t>
      </w:r>
      <w:r w:rsidRPr="00163E83">
        <w:t>.  Questo dato è tuttavia oggetto di attenzione e strettamente correlato alla regolarità del percorso di studio, come da analisi successiva.</w:t>
      </w:r>
    </w:p>
    <w:p w14:paraId="72543CC3" w14:textId="77777777" w:rsidR="00A00912" w:rsidRDefault="00A00912">
      <w:pPr>
        <w:pStyle w:val="Default"/>
      </w:pPr>
    </w:p>
    <w:p w14:paraId="2EFC49A1" w14:textId="77777777" w:rsidR="00E746C8" w:rsidRDefault="00E746C8">
      <w:pPr>
        <w:pStyle w:val="Default"/>
      </w:pPr>
    </w:p>
    <w:p w14:paraId="1FA15EA9" w14:textId="77777777" w:rsidR="00E746C8" w:rsidRDefault="006002D2">
      <w:pPr>
        <w:pStyle w:val="Default"/>
        <w:rPr>
          <w:b/>
          <w:bCs/>
        </w:rPr>
      </w:pPr>
      <w:r>
        <w:rPr>
          <w:b/>
          <w:bCs/>
        </w:rPr>
        <w:t>Gruppo A - Indicatori della Didattica</w:t>
      </w:r>
    </w:p>
    <w:p w14:paraId="0CB94394" w14:textId="77777777" w:rsidR="00E746C8" w:rsidRDefault="00E746C8">
      <w:pPr>
        <w:pStyle w:val="Default"/>
      </w:pPr>
    </w:p>
    <w:p w14:paraId="3A623180" w14:textId="77777777" w:rsidR="00E746C8" w:rsidRDefault="006002D2">
      <w:pPr>
        <w:pStyle w:val="Default"/>
      </w:pPr>
      <w:r>
        <w:t xml:space="preserve">L’analisi degli indicatori permette di fissare l’attenzione sui seguenti aspetti: </w:t>
      </w:r>
    </w:p>
    <w:p w14:paraId="6411BFD5" w14:textId="77777777" w:rsidR="00E746C8" w:rsidRDefault="006002D2">
      <w:pPr>
        <w:pStyle w:val="Default"/>
        <w:numPr>
          <w:ilvl w:val="0"/>
          <w:numId w:val="4"/>
        </w:numPr>
        <w:rPr>
          <w:b/>
          <w:bCs/>
        </w:rPr>
      </w:pPr>
      <w:r>
        <w:rPr>
          <w:b/>
          <w:bCs/>
        </w:rPr>
        <w:t>Percorso di Studio e Regolarità della carriera:</w:t>
      </w:r>
    </w:p>
    <w:p w14:paraId="7CAAB68D" w14:textId="4E236010" w:rsidR="00BF4194" w:rsidRPr="004A2003" w:rsidRDefault="006002D2" w:rsidP="00BF4194">
      <w:pPr>
        <w:numPr>
          <w:ilvl w:val="0"/>
          <w:numId w:val="6"/>
        </w:numPr>
        <w:jc w:val="both"/>
        <w:rPr>
          <w:rFonts w:ascii="Calibri" w:hAnsi="Calibri"/>
        </w:rPr>
      </w:pPr>
      <w:r w:rsidRPr="003C04AE">
        <w:rPr>
          <w:rFonts w:ascii="Calibri" w:hAnsi="Calibri"/>
          <w:kern w:val="0"/>
          <w:shd w:val="clear" w:color="auto" w:fill="FFFFFF"/>
        </w:rPr>
        <w:t xml:space="preserve">La percentuale di studenti iscritti entro la durata normale del </w:t>
      </w:r>
      <w:proofErr w:type="spellStart"/>
      <w:r w:rsidRPr="003C04AE">
        <w:rPr>
          <w:rFonts w:ascii="Calibri" w:hAnsi="Calibri"/>
          <w:kern w:val="0"/>
          <w:shd w:val="clear" w:color="auto" w:fill="FFFFFF"/>
        </w:rPr>
        <w:t>CdS</w:t>
      </w:r>
      <w:proofErr w:type="spellEnd"/>
      <w:r w:rsidRPr="003C04AE">
        <w:rPr>
          <w:rFonts w:ascii="Calibri" w:hAnsi="Calibri"/>
          <w:kern w:val="0"/>
          <w:shd w:val="clear" w:color="auto" w:fill="FFFFFF"/>
        </w:rPr>
        <w:t xml:space="preserve"> che abbiano acquisito almeno 40 CFU </w:t>
      </w:r>
      <w:r w:rsidR="009E6EE6" w:rsidRPr="004A2003">
        <w:rPr>
          <w:rFonts w:ascii="Calibri" w:hAnsi="Calibri"/>
          <w:kern w:val="0"/>
          <w:shd w:val="clear" w:color="auto" w:fill="FFFFFF"/>
        </w:rPr>
        <w:t xml:space="preserve">registra un aumento </w:t>
      </w:r>
      <w:r w:rsidRPr="004A2003">
        <w:rPr>
          <w:rFonts w:ascii="Calibri" w:hAnsi="Calibri"/>
          <w:kern w:val="0"/>
          <w:shd w:val="clear" w:color="auto" w:fill="FFFFFF"/>
        </w:rPr>
        <w:t>per la classe 57</w:t>
      </w:r>
      <w:r w:rsidR="004C2474" w:rsidRPr="004A2003">
        <w:rPr>
          <w:rFonts w:ascii="Calibri" w:hAnsi="Calibri"/>
          <w:kern w:val="0"/>
          <w:shd w:val="clear" w:color="auto" w:fill="FFFFFF"/>
        </w:rPr>
        <w:t xml:space="preserve"> in controtendenza alla media degli atenei non telematici a livello nazionale e allineandosi alla media dell’area geografica. Si registra invece una </w:t>
      </w:r>
      <w:r w:rsidR="009E6EE6" w:rsidRPr="004A2003">
        <w:rPr>
          <w:rFonts w:ascii="Calibri" w:hAnsi="Calibri"/>
          <w:kern w:val="0"/>
          <w:shd w:val="clear" w:color="auto" w:fill="FFFFFF"/>
        </w:rPr>
        <w:t>leggera flessione</w:t>
      </w:r>
      <w:r w:rsidRPr="004A2003">
        <w:rPr>
          <w:rFonts w:ascii="Calibri" w:hAnsi="Calibri"/>
          <w:kern w:val="0"/>
          <w:shd w:val="clear" w:color="auto" w:fill="FFFFFF"/>
        </w:rPr>
        <w:t xml:space="preserve"> per la classe 85</w:t>
      </w:r>
      <w:r w:rsidR="004C2474" w:rsidRPr="004A2003">
        <w:rPr>
          <w:rFonts w:ascii="Calibri" w:hAnsi="Calibri"/>
          <w:kern w:val="0"/>
          <w:shd w:val="clear" w:color="auto" w:fill="FFFFFF"/>
        </w:rPr>
        <w:t>, che si posizion</w:t>
      </w:r>
      <w:r w:rsidR="00256F0B">
        <w:rPr>
          <w:rFonts w:ascii="Calibri" w:hAnsi="Calibri"/>
          <w:kern w:val="0"/>
          <w:shd w:val="clear" w:color="auto" w:fill="FFFFFF"/>
        </w:rPr>
        <w:t>a</w:t>
      </w:r>
      <w:r w:rsidR="004C2474" w:rsidRPr="004A2003">
        <w:rPr>
          <w:rFonts w:ascii="Calibri" w:hAnsi="Calibri"/>
          <w:kern w:val="0"/>
          <w:shd w:val="clear" w:color="auto" w:fill="FFFFFF"/>
        </w:rPr>
        <w:t xml:space="preserve"> al di sotto delle media </w:t>
      </w:r>
      <w:r w:rsidR="004A2003">
        <w:rPr>
          <w:rFonts w:ascii="Calibri" w:hAnsi="Calibri"/>
          <w:kern w:val="0"/>
          <w:shd w:val="clear" w:color="auto" w:fill="FFFFFF"/>
        </w:rPr>
        <w:t>per area geografica e nazionale</w:t>
      </w:r>
      <w:r w:rsidR="004C2474" w:rsidRPr="004A2003">
        <w:rPr>
          <w:rFonts w:ascii="Calibri" w:hAnsi="Calibri"/>
        </w:rPr>
        <w:t xml:space="preserve">. </w:t>
      </w:r>
      <w:r w:rsidR="00BF4194" w:rsidRPr="004A2003">
        <w:rPr>
          <w:rFonts w:ascii="Calibri" w:hAnsi="Calibri"/>
        </w:rPr>
        <w:t xml:space="preserve">L’aumento per la classe LM57 si riflette anche per gli indicatori </w:t>
      </w:r>
      <w:r w:rsidR="00BF4194" w:rsidRPr="004A2003">
        <w:rPr>
          <w:rFonts w:ascii="Calibri" w:hAnsi="Calibri"/>
          <w:b/>
          <w:bCs/>
          <w:kern w:val="0"/>
          <w:shd w:val="clear" w:color="auto" w:fill="FFFFFF"/>
        </w:rPr>
        <w:t xml:space="preserve">iC13, iC15 e iC16 (Gruppo E) </w:t>
      </w:r>
      <w:r w:rsidR="00BF4194" w:rsidRPr="003C04AE">
        <w:rPr>
          <w:rFonts w:ascii="Calibri" w:hAnsi="Calibri"/>
          <w:kern w:val="0"/>
          <w:shd w:val="clear" w:color="auto" w:fill="FFFFFF"/>
        </w:rPr>
        <w:t>che si attestano in linea con le medie regionali e nazionali o al di sopra di queste</w:t>
      </w:r>
      <w:r w:rsidR="00BF4194" w:rsidRPr="004A2003">
        <w:rPr>
          <w:rFonts w:ascii="Calibri" w:hAnsi="Calibri"/>
          <w:kern w:val="0"/>
          <w:shd w:val="clear" w:color="auto" w:fill="FFFFFF"/>
        </w:rPr>
        <w:t>, allo stesso modo manifesta un miglioramento pur attestandosi leggermente al di sotto delle medi</w:t>
      </w:r>
      <w:r w:rsidR="00256F0B">
        <w:rPr>
          <w:rFonts w:ascii="Calibri" w:hAnsi="Calibri"/>
          <w:kern w:val="0"/>
          <w:shd w:val="clear" w:color="auto" w:fill="FFFFFF"/>
        </w:rPr>
        <w:t>e</w:t>
      </w:r>
      <w:r w:rsidR="00BF4194" w:rsidRPr="004A2003">
        <w:rPr>
          <w:rFonts w:ascii="Calibri" w:hAnsi="Calibri"/>
          <w:kern w:val="0"/>
          <w:shd w:val="clear" w:color="auto" w:fill="FFFFFF"/>
        </w:rPr>
        <w:t xml:space="preserve"> nazionali per gli indicatori </w:t>
      </w:r>
      <w:r w:rsidR="00BF4194" w:rsidRPr="004A2003">
        <w:rPr>
          <w:rFonts w:ascii="Calibri" w:hAnsi="Calibri"/>
          <w:b/>
          <w:bCs/>
          <w:kern w:val="0"/>
          <w:shd w:val="clear" w:color="auto" w:fill="FFFFFF"/>
        </w:rPr>
        <w:t>iC15 e iC16.</w:t>
      </w:r>
      <w:r w:rsidR="00256F0B" w:rsidRPr="00256F0B">
        <w:t xml:space="preserve"> </w:t>
      </w:r>
      <w:r w:rsidR="00256F0B" w:rsidRPr="00256F0B">
        <w:rPr>
          <w:rFonts w:ascii="Calibri" w:hAnsi="Calibri"/>
          <w:kern w:val="0"/>
          <w:shd w:val="clear" w:color="auto" w:fill="FFFFFF"/>
        </w:rPr>
        <w:t>Tale criticità risulta in parte imputabile alla possibilità per gli studenti di immatricolarsi fino al mese di Aprile dell’A.A. in corso e ciò comporta l’impossibilità di sostenere gli esami previsti nel primo semestre con conseguente slittamento nel conseguimento dei CFU previsti.</w:t>
      </w:r>
    </w:p>
    <w:p w14:paraId="504E9290" w14:textId="64E5DCB5" w:rsidR="00E746C8" w:rsidRPr="00256F0B" w:rsidRDefault="00A31E8F" w:rsidP="00A31E8F">
      <w:pPr>
        <w:numPr>
          <w:ilvl w:val="0"/>
          <w:numId w:val="6"/>
        </w:numPr>
        <w:jc w:val="both"/>
        <w:rPr>
          <w:rFonts w:ascii="Calibri" w:hAnsi="Calibri"/>
        </w:rPr>
      </w:pPr>
      <w:r w:rsidRPr="00256F0B">
        <w:rPr>
          <w:rFonts w:ascii="Calibri" w:hAnsi="Calibri"/>
          <w:kern w:val="0"/>
          <w:shd w:val="clear" w:color="auto" w:fill="FFFFFF"/>
        </w:rPr>
        <w:t xml:space="preserve">Si registra invece una criticità con riferimento all’iC22, </w:t>
      </w:r>
      <w:r w:rsidR="006002D2" w:rsidRPr="00256F0B">
        <w:rPr>
          <w:rFonts w:ascii="Calibri" w:hAnsi="Calibri"/>
        </w:rPr>
        <w:t>percentuale di laureati entro la durata normale del corso:</w:t>
      </w:r>
      <w:r w:rsidRPr="00256F0B">
        <w:rPr>
          <w:rFonts w:ascii="Calibri" w:hAnsi="Calibri"/>
        </w:rPr>
        <w:t xml:space="preserve"> la LM57 presenta una flessione di 22 punti percentuali dal </w:t>
      </w:r>
      <w:r w:rsidR="006002D2" w:rsidRPr="00256F0B">
        <w:rPr>
          <w:rFonts w:ascii="Calibri" w:hAnsi="Calibri"/>
        </w:rPr>
        <w:t>201</w:t>
      </w:r>
      <w:r w:rsidRPr="00256F0B">
        <w:rPr>
          <w:rFonts w:ascii="Calibri" w:hAnsi="Calibri"/>
        </w:rPr>
        <w:t>7 a</w:t>
      </w:r>
      <w:r w:rsidR="006002D2" w:rsidRPr="00256F0B">
        <w:rPr>
          <w:rFonts w:ascii="Calibri" w:hAnsi="Calibri"/>
        </w:rPr>
        <w:t>l 2018)</w:t>
      </w:r>
      <w:r w:rsidRPr="00256F0B">
        <w:rPr>
          <w:rFonts w:ascii="Calibri" w:hAnsi="Calibri"/>
        </w:rPr>
        <w:t xml:space="preserve"> e </w:t>
      </w:r>
      <w:r w:rsidR="006002D2" w:rsidRPr="00256F0B">
        <w:rPr>
          <w:rFonts w:ascii="Calibri" w:hAnsi="Calibri"/>
        </w:rPr>
        <w:t xml:space="preserve">la classe 85 </w:t>
      </w:r>
      <w:r w:rsidRPr="00256F0B">
        <w:rPr>
          <w:rFonts w:ascii="Calibri" w:hAnsi="Calibri"/>
        </w:rPr>
        <w:t xml:space="preserve">di 17 punti </w:t>
      </w:r>
      <w:r w:rsidR="004A2003" w:rsidRPr="00256F0B">
        <w:rPr>
          <w:rFonts w:ascii="Calibri" w:hAnsi="Calibri"/>
        </w:rPr>
        <w:t xml:space="preserve">percentuali </w:t>
      </w:r>
      <w:r w:rsidR="006002D2" w:rsidRPr="00256F0B">
        <w:rPr>
          <w:rFonts w:ascii="Calibri" w:hAnsi="Calibri"/>
        </w:rPr>
        <w:t xml:space="preserve">nello stesso arco temporale. </w:t>
      </w:r>
      <w:r w:rsidRPr="00256F0B">
        <w:rPr>
          <w:rFonts w:ascii="Calibri" w:hAnsi="Calibri"/>
        </w:rPr>
        <w:t xml:space="preserve">In entrambi i casi le due classi di laurea si attestano al di sotto delle medie </w:t>
      </w:r>
      <w:r w:rsidR="004A2003" w:rsidRPr="00256F0B">
        <w:rPr>
          <w:rFonts w:ascii="Calibri" w:hAnsi="Calibri"/>
        </w:rPr>
        <w:t xml:space="preserve">per area geografica e </w:t>
      </w:r>
      <w:r w:rsidRPr="00256F0B">
        <w:rPr>
          <w:rFonts w:ascii="Calibri" w:hAnsi="Calibri"/>
        </w:rPr>
        <w:t>nazional</w:t>
      </w:r>
      <w:r w:rsidR="004A2003" w:rsidRPr="00256F0B">
        <w:rPr>
          <w:rFonts w:ascii="Calibri" w:hAnsi="Calibri"/>
        </w:rPr>
        <w:t>e.</w:t>
      </w:r>
      <w:r w:rsidR="00256F0B">
        <w:rPr>
          <w:rFonts w:ascii="Calibri" w:hAnsi="Calibri"/>
        </w:rPr>
        <w:t xml:space="preserve"> Anche in questo caso, il prolungamento dei tempi di conseguimento del titolo può essere determinato dal fattore di cui sopra ma anche dal numero di studenti che decidono di effettuare un numero maggiore di CFU di tirocinio che vengono valorizzati ai fini dello svolgimento della tesi come misura del </w:t>
      </w:r>
      <w:proofErr w:type="spellStart"/>
      <w:r w:rsidR="00256F0B">
        <w:rPr>
          <w:rFonts w:ascii="Calibri" w:hAnsi="Calibri"/>
        </w:rPr>
        <w:t>CdS</w:t>
      </w:r>
      <w:proofErr w:type="spellEnd"/>
      <w:r w:rsidR="00256F0B">
        <w:rPr>
          <w:rFonts w:ascii="Calibri" w:hAnsi="Calibri"/>
        </w:rPr>
        <w:t xml:space="preserve"> per favorire il rispetto dei tempi di laurea. Va inoltre segnalato che tutte le tesi sono di carattere empirico, per l’appunto in correlazione con il tirocinio.</w:t>
      </w:r>
    </w:p>
    <w:p w14:paraId="0FC808D4" w14:textId="77777777" w:rsidR="00E746C8" w:rsidRDefault="00E746C8">
      <w:pPr>
        <w:ind w:left="360"/>
        <w:jc w:val="both"/>
        <w:rPr>
          <w:rFonts w:ascii="Calibri" w:eastAsia="Calibri" w:hAnsi="Calibri" w:cs="Calibri"/>
          <w:kern w:val="0"/>
        </w:rPr>
      </w:pPr>
    </w:p>
    <w:p w14:paraId="08075867" w14:textId="77777777" w:rsidR="00E746C8" w:rsidRDefault="006002D2">
      <w:pPr>
        <w:ind w:left="360"/>
        <w:jc w:val="both"/>
        <w:rPr>
          <w:rFonts w:ascii="Calibri" w:eastAsia="Calibri" w:hAnsi="Calibri" w:cs="Calibri"/>
          <w:b/>
          <w:bCs/>
          <w:kern w:val="0"/>
          <w:shd w:val="clear" w:color="auto" w:fill="FFFFFF"/>
        </w:rPr>
      </w:pPr>
      <w:r>
        <w:rPr>
          <w:rFonts w:ascii="Calibri" w:hAnsi="Calibri"/>
          <w:b/>
          <w:bCs/>
          <w:kern w:val="0"/>
        </w:rPr>
        <w:t xml:space="preserve">Attrattività del </w:t>
      </w:r>
      <w:proofErr w:type="spellStart"/>
      <w:r>
        <w:rPr>
          <w:rFonts w:ascii="Calibri" w:hAnsi="Calibri"/>
          <w:b/>
          <w:bCs/>
          <w:kern w:val="0"/>
        </w:rPr>
        <w:t>CdS</w:t>
      </w:r>
      <w:proofErr w:type="spellEnd"/>
      <w:r>
        <w:rPr>
          <w:rFonts w:ascii="Calibri" w:hAnsi="Calibri"/>
          <w:b/>
          <w:bCs/>
          <w:kern w:val="0"/>
        </w:rPr>
        <w:t>:</w:t>
      </w:r>
    </w:p>
    <w:p w14:paraId="1CD7216A" w14:textId="48F816BD" w:rsidR="00E746C8" w:rsidRDefault="006002D2">
      <w:pPr>
        <w:numPr>
          <w:ilvl w:val="0"/>
          <w:numId w:val="8"/>
        </w:numPr>
        <w:jc w:val="both"/>
        <w:rPr>
          <w:rFonts w:ascii="Calibri" w:hAnsi="Calibri"/>
        </w:rPr>
      </w:pPr>
      <w:r>
        <w:rPr>
          <w:rFonts w:ascii="Calibri" w:hAnsi="Calibri"/>
          <w:kern w:val="0"/>
          <w:shd w:val="clear" w:color="auto" w:fill="FFFFFF"/>
        </w:rPr>
        <w:t xml:space="preserve">Restano ferme le potenzialità della classe 57 poco presente sul territorio nazionale e </w:t>
      </w:r>
      <w:r w:rsidR="00A31E8F">
        <w:rPr>
          <w:rFonts w:ascii="Calibri" w:hAnsi="Calibri"/>
          <w:kern w:val="0"/>
          <w:shd w:val="clear" w:color="auto" w:fill="FFFFFF"/>
        </w:rPr>
        <w:t xml:space="preserve">di cui si confermano </w:t>
      </w:r>
      <w:r w:rsidR="004A2003">
        <w:rPr>
          <w:rFonts w:ascii="Calibri" w:hAnsi="Calibri"/>
          <w:kern w:val="0"/>
          <w:shd w:val="clear" w:color="auto" w:fill="FFFFFF"/>
        </w:rPr>
        <w:t xml:space="preserve">solo </w:t>
      </w:r>
      <w:r w:rsidR="00A31E8F">
        <w:rPr>
          <w:rFonts w:ascii="Calibri" w:hAnsi="Calibri"/>
          <w:kern w:val="0"/>
          <w:shd w:val="clear" w:color="auto" w:fill="FFFFFF"/>
        </w:rPr>
        <w:t xml:space="preserve">due corsi </w:t>
      </w:r>
      <w:r w:rsidR="002F2CE8">
        <w:rPr>
          <w:rFonts w:ascii="Calibri" w:hAnsi="Calibri"/>
          <w:kern w:val="0"/>
          <w:shd w:val="clear" w:color="auto" w:fill="FFFFFF"/>
        </w:rPr>
        <w:t>nell’area geografica centro</w:t>
      </w:r>
      <w:r w:rsidR="00A31E8F">
        <w:rPr>
          <w:rFonts w:ascii="Calibri" w:hAnsi="Calibri"/>
          <w:kern w:val="0"/>
          <w:shd w:val="clear" w:color="auto" w:fill="FFFFFF"/>
        </w:rPr>
        <w:t>.</w:t>
      </w:r>
    </w:p>
    <w:p w14:paraId="0A7B4A39" w14:textId="72D0357B" w:rsidR="00A31E8F" w:rsidRPr="00A31E8F" w:rsidRDefault="006002D2" w:rsidP="00A31E8F">
      <w:pPr>
        <w:numPr>
          <w:ilvl w:val="0"/>
          <w:numId w:val="8"/>
        </w:numPr>
        <w:jc w:val="both"/>
        <w:rPr>
          <w:rFonts w:ascii="Calibri" w:hAnsi="Calibri"/>
        </w:rPr>
      </w:pPr>
      <w:r>
        <w:rPr>
          <w:rFonts w:ascii="Calibri" w:hAnsi="Calibri"/>
          <w:kern w:val="0"/>
          <w:shd w:val="clear" w:color="auto" w:fill="FFFFFF"/>
        </w:rPr>
        <w:t xml:space="preserve">La </w:t>
      </w:r>
      <w:r>
        <w:rPr>
          <w:rFonts w:ascii="Calibri" w:hAnsi="Calibri"/>
        </w:rPr>
        <w:t xml:space="preserve">percentuale di iscritti al primo anno laureati in altro Ateneo è infatti in aumento </w:t>
      </w:r>
      <w:r w:rsidR="00A31E8F">
        <w:rPr>
          <w:rFonts w:ascii="Calibri" w:hAnsi="Calibri"/>
        </w:rPr>
        <w:t>nel triennio considerato per la LM57 che passa in valori assoluti da 3 del 2017 a 8 unità del 2019 e per</w:t>
      </w:r>
      <w:r w:rsidR="00A31E8F" w:rsidRPr="00A31E8F">
        <w:rPr>
          <w:rFonts w:ascii="Calibri" w:hAnsi="Calibri"/>
        </w:rPr>
        <w:t xml:space="preserve"> classe LM 85 </w:t>
      </w:r>
      <w:r w:rsidR="00A31E8F">
        <w:rPr>
          <w:rFonts w:ascii="Calibri" w:hAnsi="Calibri"/>
        </w:rPr>
        <w:t xml:space="preserve">che </w:t>
      </w:r>
      <w:r w:rsidR="00A31E8F" w:rsidRPr="00A31E8F">
        <w:rPr>
          <w:rFonts w:ascii="Calibri" w:hAnsi="Calibri"/>
        </w:rPr>
        <w:t>nei valori assoluti passa da 7 del 2018 a 14 del 2019</w:t>
      </w:r>
      <w:r w:rsidR="00A31E8F">
        <w:rPr>
          <w:rFonts w:ascii="Calibri" w:hAnsi="Calibri"/>
        </w:rPr>
        <w:t>.</w:t>
      </w:r>
    </w:p>
    <w:p w14:paraId="4D5CB829" w14:textId="77777777" w:rsidR="00E746C8" w:rsidRDefault="00E746C8">
      <w:pPr>
        <w:ind w:left="360"/>
        <w:rPr>
          <w:rFonts w:ascii="Calibri" w:eastAsia="Calibri" w:hAnsi="Calibri" w:cs="Calibri"/>
          <w:kern w:val="0"/>
        </w:rPr>
      </w:pPr>
    </w:p>
    <w:p w14:paraId="7911EBB6" w14:textId="77777777" w:rsidR="00E746C8" w:rsidRDefault="006002D2">
      <w:pPr>
        <w:ind w:left="360"/>
        <w:jc w:val="both"/>
        <w:rPr>
          <w:rFonts w:ascii="Calibri" w:eastAsia="Calibri" w:hAnsi="Calibri" w:cs="Calibri"/>
          <w:b/>
          <w:bCs/>
          <w:kern w:val="0"/>
          <w:shd w:val="clear" w:color="auto" w:fill="FFFFFF"/>
        </w:rPr>
      </w:pPr>
      <w:r>
        <w:rPr>
          <w:rFonts w:ascii="Calibri" w:hAnsi="Calibri"/>
          <w:b/>
          <w:bCs/>
          <w:kern w:val="0"/>
        </w:rPr>
        <w:t>Consistenza e qualificazione del corpo docente:</w:t>
      </w:r>
    </w:p>
    <w:p w14:paraId="3F8C97C2" w14:textId="6C9C16B1" w:rsidR="00E746C8" w:rsidRDefault="006002D2">
      <w:pPr>
        <w:numPr>
          <w:ilvl w:val="0"/>
          <w:numId w:val="10"/>
        </w:numPr>
        <w:jc w:val="both"/>
        <w:rPr>
          <w:rFonts w:ascii="Calibri" w:hAnsi="Calibri"/>
        </w:rPr>
      </w:pPr>
      <w:r>
        <w:rPr>
          <w:rFonts w:ascii="Calibri" w:hAnsi="Calibri"/>
          <w:kern w:val="0"/>
          <w:shd w:val="clear" w:color="auto" w:fill="FFFFFF"/>
        </w:rPr>
        <w:t xml:space="preserve">Gli indicatori consentono di evidenziare la corrispondenza totale (100%) tra docenti di riferimento e docenti dei SSD caratterizzanti </w:t>
      </w:r>
      <w:r w:rsidR="00452EC5">
        <w:rPr>
          <w:rFonts w:ascii="Calibri" w:hAnsi="Calibri"/>
          <w:kern w:val="0"/>
          <w:shd w:val="clear" w:color="auto" w:fill="FFFFFF"/>
        </w:rPr>
        <w:t xml:space="preserve">(iC08) </w:t>
      </w:r>
      <w:r>
        <w:rPr>
          <w:rFonts w:ascii="Calibri" w:hAnsi="Calibri"/>
          <w:kern w:val="0"/>
          <w:shd w:val="clear" w:color="auto" w:fill="FFFFFF"/>
        </w:rPr>
        <w:t xml:space="preserve">e una qualità della docenza stabile e </w:t>
      </w:r>
      <w:r w:rsidR="00452EC5">
        <w:rPr>
          <w:rFonts w:ascii="Calibri" w:hAnsi="Calibri"/>
          <w:kern w:val="0"/>
          <w:shd w:val="clear" w:color="auto" w:fill="FFFFFF"/>
        </w:rPr>
        <w:t>leggermente superiore al</w:t>
      </w:r>
      <w:r>
        <w:rPr>
          <w:rFonts w:ascii="Calibri" w:hAnsi="Calibri"/>
          <w:kern w:val="0"/>
          <w:shd w:val="clear" w:color="auto" w:fill="FFFFFF"/>
        </w:rPr>
        <w:t>le medie nazionali</w:t>
      </w:r>
      <w:r w:rsidR="00452EC5">
        <w:rPr>
          <w:rFonts w:ascii="Calibri" w:hAnsi="Calibri"/>
          <w:kern w:val="0"/>
          <w:shd w:val="clear" w:color="auto" w:fill="FFFFFF"/>
        </w:rPr>
        <w:t xml:space="preserve"> (iC09)</w:t>
      </w:r>
      <w:r>
        <w:rPr>
          <w:rFonts w:ascii="Calibri" w:hAnsi="Calibri"/>
          <w:kern w:val="0"/>
          <w:shd w:val="clear" w:color="auto" w:fill="FFFFFF"/>
        </w:rPr>
        <w:t xml:space="preserve">. Si evidenzia un </w:t>
      </w:r>
      <w:r w:rsidR="00452EC5">
        <w:rPr>
          <w:rFonts w:ascii="Calibri" w:hAnsi="Calibri"/>
          <w:kern w:val="0"/>
          <w:shd w:val="clear" w:color="auto" w:fill="FFFFFF"/>
        </w:rPr>
        <w:t xml:space="preserve">leggero aumento del numero di studenti per docente, </w:t>
      </w:r>
      <w:r w:rsidR="004A2003">
        <w:rPr>
          <w:rFonts w:ascii="Calibri" w:hAnsi="Calibri"/>
          <w:kern w:val="0"/>
          <w:shd w:val="clear" w:color="auto" w:fill="FFFFFF"/>
        </w:rPr>
        <w:t xml:space="preserve">dato che </w:t>
      </w:r>
      <w:r w:rsidR="00452EC5">
        <w:rPr>
          <w:rFonts w:ascii="Calibri" w:hAnsi="Calibri"/>
          <w:kern w:val="0"/>
          <w:shd w:val="clear" w:color="auto" w:fill="FFFFFF"/>
        </w:rPr>
        <w:t xml:space="preserve">in ogni caso </w:t>
      </w:r>
      <w:r w:rsidR="004A2003">
        <w:rPr>
          <w:rFonts w:ascii="Calibri" w:hAnsi="Calibri"/>
          <w:kern w:val="0"/>
          <w:shd w:val="clear" w:color="auto" w:fill="FFFFFF"/>
        </w:rPr>
        <w:t xml:space="preserve">resta </w:t>
      </w:r>
      <w:r w:rsidR="00452EC5">
        <w:rPr>
          <w:rFonts w:ascii="Calibri" w:hAnsi="Calibri"/>
          <w:kern w:val="0"/>
          <w:shd w:val="clear" w:color="auto" w:fill="FFFFFF"/>
        </w:rPr>
        <w:t>inferiore all</w:t>
      </w:r>
      <w:r w:rsidR="00256F0B">
        <w:rPr>
          <w:rFonts w:ascii="Calibri" w:hAnsi="Calibri"/>
          <w:kern w:val="0"/>
          <w:shd w:val="clear" w:color="auto" w:fill="FFFFFF"/>
        </w:rPr>
        <w:t>a</w:t>
      </w:r>
      <w:r w:rsidR="00452EC5">
        <w:rPr>
          <w:rFonts w:ascii="Calibri" w:hAnsi="Calibri"/>
          <w:kern w:val="0"/>
          <w:shd w:val="clear" w:color="auto" w:fill="FFFFFF"/>
        </w:rPr>
        <w:t xml:space="preserve"> medi</w:t>
      </w:r>
      <w:r w:rsidR="00256F0B">
        <w:rPr>
          <w:rFonts w:ascii="Calibri" w:hAnsi="Calibri"/>
          <w:kern w:val="0"/>
          <w:shd w:val="clear" w:color="auto" w:fill="FFFFFF"/>
        </w:rPr>
        <w:t>a</w:t>
      </w:r>
      <w:r w:rsidR="00452EC5">
        <w:rPr>
          <w:rFonts w:ascii="Calibri" w:hAnsi="Calibri"/>
          <w:kern w:val="0"/>
          <w:shd w:val="clear" w:color="auto" w:fill="FFFFFF"/>
        </w:rPr>
        <w:t xml:space="preserve"> nazionale e in linea con il dato </w:t>
      </w:r>
      <w:r w:rsidR="004A2003">
        <w:rPr>
          <w:rFonts w:ascii="Calibri" w:hAnsi="Calibri"/>
          <w:kern w:val="0"/>
          <w:shd w:val="clear" w:color="auto" w:fill="FFFFFF"/>
        </w:rPr>
        <w:t>per area geografica</w:t>
      </w:r>
      <w:r w:rsidR="00452EC5">
        <w:rPr>
          <w:rFonts w:ascii="Calibri" w:hAnsi="Calibri"/>
          <w:kern w:val="0"/>
          <w:shd w:val="clear" w:color="auto" w:fill="FFFFFF"/>
        </w:rPr>
        <w:t xml:space="preserve"> (iC05)</w:t>
      </w:r>
      <w:r>
        <w:rPr>
          <w:rFonts w:ascii="Calibri" w:hAnsi="Calibri"/>
          <w:kern w:val="0"/>
          <w:shd w:val="clear" w:color="auto" w:fill="FFFFFF"/>
        </w:rPr>
        <w:t>.</w:t>
      </w:r>
    </w:p>
    <w:p w14:paraId="0FA6C406" w14:textId="6D8B0D18" w:rsidR="00E746C8" w:rsidRDefault="006002D2">
      <w:pPr>
        <w:numPr>
          <w:ilvl w:val="0"/>
          <w:numId w:val="10"/>
        </w:numPr>
        <w:jc w:val="both"/>
        <w:rPr>
          <w:rFonts w:ascii="Calibri" w:hAnsi="Calibri"/>
        </w:rPr>
      </w:pPr>
      <w:r>
        <w:rPr>
          <w:rFonts w:ascii="Calibri" w:hAnsi="Calibri"/>
          <w:kern w:val="0"/>
          <w:shd w:val="clear" w:color="auto" w:fill="FFFFFF"/>
        </w:rPr>
        <w:t>Anche i valor</w:t>
      </w:r>
      <w:r w:rsidR="002F2CE8">
        <w:rPr>
          <w:rFonts w:ascii="Calibri" w:hAnsi="Calibri"/>
          <w:kern w:val="0"/>
          <w:shd w:val="clear" w:color="auto" w:fill="FFFFFF"/>
        </w:rPr>
        <w:t>i</w:t>
      </w:r>
      <w:r>
        <w:rPr>
          <w:rFonts w:ascii="Calibri" w:hAnsi="Calibri"/>
          <w:kern w:val="0"/>
          <w:shd w:val="clear" w:color="auto" w:fill="FFFFFF"/>
        </w:rPr>
        <w:t xml:space="preserve"> dell'indicatore iC09, Qualità della ricerca dei docenti per le lauree magistrali (QRDLM)</w:t>
      </w:r>
      <w:r w:rsidR="00452EC5">
        <w:rPr>
          <w:rFonts w:ascii="Calibri" w:hAnsi="Calibri"/>
          <w:kern w:val="0"/>
          <w:shd w:val="clear" w:color="auto" w:fill="FFFFFF"/>
        </w:rPr>
        <w:t xml:space="preserve"> </w:t>
      </w:r>
      <w:r w:rsidR="002F2CE8">
        <w:rPr>
          <w:rFonts w:ascii="Calibri" w:hAnsi="Calibri"/>
          <w:kern w:val="0"/>
          <w:shd w:val="clear" w:color="auto" w:fill="FFFFFF"/>
        </w:rPr>
        <w:t>sono</w:t>
      </w:r>
      <w:r w:rsidR="00452EC5">
        <w:rPr>
          <w:rFonts w:ascii="Calibri" w:hAnsi="Calibri"/>
          <w:kern w:val="0"/>
          <w:shd w:val="clear" w:color="auto" w:fill="FFFFFF"/>
        </w:rPr>
        <w:t xml:space="preserve"> sempre </w:t>
      </w:r>
      <w:r>
        <w:rPr>
          <w:rFonts w:ascii="Calibri" w:hAnsi="Calibri"/>
          <w:kern w:val="0"/>
          <w:shd w:val="clear" w:color="auto" w:fill="FFFFFF"/>
        </w:rPr>
        <w:t>&gt; 1</w:t>
      </w:r>
      <w:r w:rsidR="00452EC5">
        <w:rPr>
          <w:rFonts w:ascii="Calibri" w:hAnsi="Calibri"/>
          <w:kern w:val="0"/>
          <w:shd w:val="clear" w:color="auto" w:fill="FFFFFF"/>
        </w:rPr>
        <w:t xml:space="preserve"> nel triennio</w:t>
      </w:r>
      <w:r w:rsidR="004A2003">
        <w:rPr>
          <w:rFonts w:ascii="Calibri" w:hAnsi="Calibri"/>
          <w:kern w:val="0"/>
          <w:shd w:val="clear" w:color="auto" w:fill="FFFFFF"/>
        </w:rPr>
        <w:t>.</w:t>
      </w:r>
    </w:p>
    <w:p w14:paraId="0BBAC5CB" w14:textId="3EBE8D91" w:rsidR="00E746C8" w:rsidRDefault="006002D2">
      <w:pPr>
        <w:numPr>
          <w:ilvl w:val="0"/>
          <w:numId w:val="10"/>
        </w:numPr>
        <w:jc w:val="both"/>
        <w:rPr>
          <w:rFonts w:ascii="Calibri" w:hAnsi="Calibri"/>
        </w:rPr>
      </w:pPr>
      <w:r>
        <w:rPr>
          <w:rFonts w:ascii="Calibri" w:hAnsi="Calibri"/>
          <w:kern w:val="0"/>
          <w:shd w:val="clear" w:color="auto" w:fill="FFFFFF"/>
        </w:rPr>
        <w:t>Gli indicatori di approfondimento iC27 e iC28 confermano una</w:t>
      </w:r>
      <w:r w:rsidR="00D44E24">
        <w:rPr>
          <w:rFonts w:ascii="Calibri" w:hAnsi="Calibri"/>
          <w:kern w:val="0"/>
          <w:shd w:val="clear" w:color="auto" w:fill="FFFFFF"/>
        </w:rPr>
        <w:t xml:space="preserve"> </w:t>
      </w:r>
      <w:r>
        <w:rPr>
          <w:rFonts w:ascii="Calibri" w:hAnsi="Calibri"/>
          <w:kern w:val="0"/>
          <w:shd w:val="clear" w:color="auto" w:fill="FFFFFF"/>
        </w:rPr>
        <w:t xml:space="preserve">criticità che accomuna i </w:t>
      </w:r>
      <w:proofErr w:type="spellStart"/>
      <w:r>
        <w:rPr>
          <w:rFonts w:ascii="Calibri" w:hAnsi="Calibri"/>
          <w:kern w:val="0"/>
          <w:shd w:val="clear" w:color="auto" w:fill="FFFFFF"/>
        </w:rPr>
        <w:t>CdS</w:t>
      </w:r>
      <w:proofErr w:type="spellEnd"/>
      <w:r>
        <w:rPr>
          <w:rFonts w:ascii="Calibri" w:hAnsi="Calibri"/>
          <w:kern w:val="0"/>
          <w:shd w:val="clear" w:color="auto" w:fill="FFFFFF"/>
        </w:rPr>
        <w:t xml:space="preserve"> dell’area della formazione relativamente</w:t>
      </w:r>
      <w:r w:rsidR="002F2CE8">
        <w:rPr>
          <w:rFonts w:ascii="Calibri" w:hAnsi="Calibri"/>
          <w:kern w:val="0"/>
          <w:shd w:val="clear" w:color="auto" w:fill="FFFFFF"/>
        </w:rPr>
        <w:t xml:space="preserve"> </w:t>
      </w:r>
      <w:r>
        <w:rPr>
          <w:rFonts w:ascii="Calibri" w:hAnsi="Calibri"/>
          <w:kern w:val="0"/>
          <w:shd w:val="clear" w:color="auto" w:fill="FFFFFF"/>
        </w:rPr>
        <w:t xml:space="preserve">al rapporto docenti/studenti, con valori </w:t>
      </w:r>
      <w:r w:rsidR="00D44E24">
        <w:rPr>
          <w:rFonts w:ascii="Calibri" w:hAnsi="Calibri"/>
          <w:kern w:val="0"/>
          <w:shd w:val="clear" w:color="auto" w:fill="FFFFFF"/>
        </w:rPr>
        <w:t xml:space="preserve">di poco al di sotto </w:t>
      </w:r>
      <w:r>
        <w:rPr>
          <w:rFonts w:ascii="Calibri" w:hAnsi="Calibri"/>
          <w:kern w:val="0"/>
          <w:shd w:val="clear" w:color="auto" w:fill="FFFFFF"/>
        </w:rPr>
        <w:t>delle medie nazionali.</w:t>
      </w:r>
    </w:p>
    <w:p w14:paraId="1742A549" w14:textId="77777777" w:rsidR="00E746C8" w:rsidRDefault="00E746C8">
      <w:pPr>
        <w:ind w:left="360"/>
        <w:jc w:val="both"/>
        <w:rPr>
          <w:rFonts w:ascii="Calibri" w:eastAsia="Calibri" w:hAnsi="Calibri" w:cs="Calibri"/>
        </w:rPr>
      </w:pPr>
    </w:p>
    <w:p w14:paraId="72CB9F42" w14:textId="4227703C" w:rsidR="00E746C8" w:rsidRDefault="006002D2">
      <w:pPr>
        <w:pStyle w:val="Default"/>
        <w:ind w:left="284"/>
        <w:rPr>
          <w:b/>
          <w:bCs/>
        </w:rPr>
      </w:pPr>
      <w:r>
        <w:rPr>
          <w:b/>
          <w:bCs/>
        </w:rPr>
        <w:t>Occupabilità (gruppo indicatori iC07)</w:t>
      </w:r>
      <w:r w:rsidR="00A70345">
        <w:rPr>
          <w:b/>
          <w:bCs/>
        </w:rPr>
        <w:t>:</w:t>
      </w:r>
    </w:p>
    <w:p w14:paraId="08A99A98" w14:textId="3A75941F" w:rsidR="00E746C8" w:rsidRPr="00256F0B" w:rsidRDefault="00AE212E">
      <w:pPr>
        <w:pStyle w:val="Default"/>
        <w:numPr>
          <w:ilvl w:val="0"/>
          <w:numId w:val="12"/>
        </w:numPr>
      </w:pPr>
      <w:r w:rsidRPr="00256F0B">
        <w:t>Non si</w:t>
      </w:r>
      <w:r w:rsidR="002F2CE8" w:rsidRPr="00256F0B">
        <w:t xml:space="preserve"> evidenziano particolari variazioni in termini di valori assoluti tra il 2018 e il 2019 per</w:t>
      </w:r>
      <w:r w:rsidR="004136FF" w:rsidRPr="00256F0B">
        <w:t xml:space="preserve"> </w:t>
      </w:r>
      <w:r w:rsidR="006002D2" w:rsidRPr="00256F0B">
        <w:t xml:space="preserve">gli indicatori relativi all’occupabilità dei Laureati a tre anni dal </w:t>
      </w:r>
      <w:r w:rsidRPr="00256F0B">
        <w:t xml:space="preserve">conseguimento del </w:t>
      </w:r>
      <w:r w:rsidR="006002D2" w:rsidRPr="00256F0B">
        <w:t xml:space="preserve">Titolo. Il Corso si pone complessivamente </w:t>
      </w:r>
      <w:r w:rsidR="007859BC" w:rsidRPr="00256F0B">
        <w:t>in linea con le</w:t>
      </w:r>
      <w:r w:rsidR="006002D2" w:rsidRPr="00256F0B">
        <w:t xml:space="preserve"> medie nazionali</w:t>
      </w:r>
      <w:r w:rsidR="007859BC" w:rsidRPr="00256F0B">
        <w:t>, con un</w:t>
      </w:r>
      <w:r w:rsidR="006002D2" w:rsidRPr="00256F0B">
        <w:t xml:space="preserve"> indicator</w:t>
      </w:r>
      <w:r w:rsidR="007859BC" w:rsidRPr="00256F0B">
        <w:t>e</w:t>
      </w:r>
      <w:r w:rsidR="006002D2" w:rsidRPr="00256F0B">
        <w:t xml:space="preserve"> di approfondimento iC26</w:t>
      </w:r>
      <w:r w:rsidR="007859BC" w:rsidRPr="00256F0B">
        <w:t xml:space="preserve"> leggermente superiore (laureati occupati a </w:t>
      </w:r>
      <w:r w:rsidR="00256F0B">
        <w:t>1</w:t>
      </w:r>
      <w:r w:rsidR="007859BC" w:rsidRPr="00256F0B">
        <w:t xml:space="preserve"> anno dal titolo)</w:t>
      </w:r>
      <w:r w:rsidR="006002D2" w:rsidRPr="00256F0B">
        <w:t>.</w:t>
      </w:r>
    </w:p>
    <w:p w14:paraId="6D9C772F" w14:textId="77777777" w:rsidR="00E746C8" w:rsidRDefault="00E746C8">
      <w:pPr>
        <w:ind w:left="360"/>
        <w:jc w:val="both"/>
        <w:rPr>
          <w:rFonts w:ascii="Calibri" w:eastAsia="Calibri" w:hAnsi="Calibri" w:cs="Calibri"/>
        </w:rPr>
      </w:pPr>
    </w:p>
    <w:p w14:paraId="2695283B" w14:textId="7DD8D7EE" w:rsidR="00E746C8" w:rsidRDefault="006002D2">
      <w:pPr>
        <w:ind w:left="360"/>
        <w:jc w:val="both"/>
        <w:rPr>
          <w:rFonts w:ascii="Calibri" w:eastAsia="Calibri" w:hAnsi="Calibri" w:cs="Calibri"/>
          <w:b/>
          <w:bCs/>
        </w:rPr>
      </w:pPr>
      <w:r>
        <w:rPr>
          <w:rFonts w:ascii="Calibri" w:hAnsi="Calibri"/>
          <w:b/>
          <w:bCs/>
        </w:rPr>
        <w:t>Gruppo B - Indicatori della Internazionalizzazione:</w:t>
      </w:r>
    </w:p>
    <w:p w14:paraId="43353779" w14:textId="2BE5BE37" w:rsidR="00E746C8" w:rsidRDefault="006002D2" w:rsidP="00B6794E">
      <w:pPr>
        <w:pStyle w:val="Default"/>
        <w:numPr>
          <w:ilvl w:val="0"/>
          <w:numId w:val="12"/>
        </w:numPr>
      </w:pPr>
      <w:r>
        <w:t xml:space="preserve">Negli anni accademici oggetto di monitoraggio le percentuali di CFU conseguiti all'estero e la percentuale di studenti che ha maturato almeno 12 CFU all’estero hanno avuto delle oscillazioni, con un </w:t>
      </w:r>
      <w:r w:rsidR="00B6794E">
        <w:t>sost</w:t>
      </w:r>
      <w:r w:rsidR="003C04AE">
        <w:t>a</w:t>
      </w:r>
      <w:r w:rsidR="00B6794E">
        <w:t>nziale</w:t>
      </w:r>
      <w:r>
        <w:t xml:space="preserve"> aumento </w:t>
      </w:r>
      <w:r w:rsidR="00B6794E">
        <w:t>per la LM85 e una leggera flessione per LM57 dal 2017 al 2018</w:t>
      </w:r>
      <w:r w:rsidR="00A70345">
        <w:t>, dato che rimane comunque superiore rispetto alla media nazionale</w:t>
      </w:r>
      <w:r>
        <w:t xml:space="preserve">. Tale dato è imputabile all’attivazione di misure aggiuntive di supporto alla mobilità (borse di studio) per alcuni anni accademici in relazione alla disponibilità delle risorse. Il riconoscimento per la LM come “double degree </w:t>
      </w:r>
      <w:proofErr w:type="spellStart"/>
      <w:r>
        <w:t>course</w:t>
      </w:r>
      <w:proofErr w:type="spellEnd"/>
      <w:r>
        <w:t>”, non ha invece determinato il miglioramento atteso e non si rileva un aumento nel numero di studenti iscritti al primo anno del corso di laurea magistrale che hanno conseguito il precedente titolo di studio all’estero.</w:t>
      </w:r>
    </w:p>
    <w:p w14:paraId="6B9E0734" w14:textId="472B7B8D" w:rsidR="00E746C8" w:rsidRDefault="00B6794E" w:rsidP="00B6794E">
      <w:pPr>
        <w:pStyle w:val="Default"/>
        <w:numPr>
          <w:ilvl w:val="0"/>
          <w:numId w:val="12"/>
        </w:numPr>
      </w:pPr>
      <w:r w:rsidRPr="00256F0B">
        <w:t xml:space="preserve">Permane la difficoltà </w:t>
      </w:r>
      <w:r w:rsidR="006002D2" w:rsidRPr="00256F0B">
        <w:t>di</w:t>
      </w:r>
      <w:r w:rsidR="006002D2">
        <w:t xml:space="preserve"> organizzazione di un Erasmus nell’arco dei due anni, se non si creano le premesse nella triennale.</w:t>
      </w:r>
    </w:p>
    <w:p w14:paraId="28874576" w14:textId="77777777" w:rsidR="00E746C8" w:rsidRDefault="00E746C8">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425"/>
        </w:tabs>
        <w:jc w:val="both"/>
        <w:rPr>
          <w:rFonts w:ascii="Calibri" w:eastAsia="Calibri" w:hAnsi="Calibri" w:cs="Calibri"/>
          <w:b/>
          <w:bCs/>
          <w:sz w:val="23"/>
          <w:szCs w:val="23"/>
        </w:rPr>
      </w:pPr>
    </w:p>
    <w:p w14:paraId="6880852C" w14:textId="77777777" w:rsidR="00E746C8" w:rsidRDefault="006002D2">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425"/>
        </w:tabs>
        <w:jc w:val="both"/>
        <w:rPr>
          <w:rFonts w:ascii="Calibri" w:eastAsia="Calibri" w:hAnsi="Calibri" w:cs="Calibri"/>
          <w:b/>
          <w:bCs/>
          <w:sz w:val="23"/>
          <w:szCs w:val="23"/>
        </w:rPr>
      </w:pPr>
      <w:r>
        <w:rPr>
          <w:rFonts w:ascii="Calibri" w:hAnsi="Calibri"/>
          <w:b/>
          <w:bCs/>
          <w:sz w:val="23"/>
          <w:szCs w:val="23"/>
        </w:rPr>
        <w:t>Gruppo E - Ulteriori Indicatori per la valutazione della didattica</w:t>
      </w:r>
    </w:p>
    <w:p w14:paraId="2581E9DD" w14:textId="77777777" w:rsidR="00E746C8" w:rsidRDefault="00E746C8">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425"/>
        </w:tabs>
        <w:jc w:val="both"/>
        <w:rPr>
          <w:rFonts w:ascii="Calibri" w:eastAsia="Calibri" w:hAnsi="Calibri" w:cs="Calibri"/>
          <w:b/>
          <w:bCs/>
          <w:sz w:val="23"/>
          <w:szCs w:val="23"/>
        </w:rPr>
      </w:pPr>
    </w:p>
    <w:p w14:paraId="03F586F3" w14:textId="7E097A12" w:rsidR="00E746C8" w:rsidRDefault="006002D2">
      <w:pPr>
        <w:pStyle w:val="Default"/>
        <w:rPr>
          <w:b/>
          <w:bCs/>
        </w:rPr>
      </w:pPr>
      <w:proofErr w:type="spellStart"/>
      <w:r>
        <w:rPr>
          <w:b/>
          <w:bCs/>
        </w:rPr>
        <w:lastRenderedPageBreak/>
        <w:t>Laureabilità</w:t>
      </w:r>
      <w:proofErr w:type="spellEnd"/>
      <w:r w:rsidR="00A70345">
        <w:rPr>
          <w:b/>
          <w:bCs/>
        </w:rPr>
        <w:t>:</w:t>
      </w:r>
    </w:p>
    <w:p w14:paraId="4F80C129" w14:textId="27BF1641" w:rsidR="007D1F63" w:rsidRDefault="007D1F63" w:rsidP="007D1F63">
      <w:pPr>
        <w:pStyle w:val="Default"/>
        <w:numPr>
          <w:ilvl w:val="0"/>
          <w:numId w:val="12"/>
        </w:numPr>
      </w:pPr>
      <w:r>
        <w:t>Con riferimento alla LM57, s</w:t>
      </w:r>
      <w:r w:rsidR="006002D2">
        <w:t xml:space="preserve">i evidenzia che la percentuale di immatricolati (L; LM; LMCU) che si laureano entro un anno oltre la durata normale del corso nello stesso corso di studio, pone il </w:t>
      </w:r>
      <w:proofErr w:type="spellStart"/>
      <w:r w:rsidR="006002D2">
        <w:t>CdLM</w:t>
      </w:r>
      <w:proofErr w:type="spellEnd"/>
      <w:r w:rsidR="006002D2">
        <w:t xml:space="preserve"> in una posizione migliore rispetto alle medie nazionali, con una % decisamente più bassa di studenti che si laureano oltre il primo anno fuori corso (nel 201</w:t>
      </w:r>
      <w:r>
        <w:t>8</w:t>
      </w:r>
      <w:r w:rsidR="006002D2">
        <w:t>: il 5</w:t>
      </w:r>
      <w:r>
        <w:t>8</w:t>
      </w:r>
      <w:r w:rsidR="006002D2">
        <w:t>% contro il 69% nazionale</w:t>
      </w:r>
      <w:r>
        <w:t xml:space="preserve">). Si registra </w:t>
      </w:r>
      <w:r w:rsidR="004136FF">
        <w:t>i</w:t>
      </w:r>
      <w:r>
        <w:t>nvece un aumento della percentuale su triennio per la LM85</w:t>
      </w:r>
      <w:r w:rsidR="006002D2">
        <w:t xml:space="preserve"> </w:t>
      </w:r>
      <w:r>
        <w:t xml:space="preserve">che passa dal 55% del 2017 al </w:t>
      </w:r>
      <w:r w:rsidR="006002D2">
        <w:t xml:space="preserve">il </w:t>
      </w:r>
      <w:r>
        <w:t>70</w:t>
      </w:r>
      <w:r w:rsidR="006002D2">
        <w:t xml:space="preserve">% </w:t>
      </w:r>
      <w:r>
        <w:t xml:space="preserve">del 2018 (la media nazionale si attesta sul </w:t>
      </w:r>
      <w:r w:rsidR="006002D2">
        <w:t>6</w:t>
      </w:r>
      <w:r>
        <w:t>5.7</w:t>
      </w:r>
      <w:r w:rsidR="006002D2">
        <w:t>%</w:t>
      </w:r>
      <w:r>
        <w:t xml:space="preserve">). Va tenuto presente che dal 2017 al 2018 il denominatore è passato da 27 a 50 unità di studenti. </w:t>
      </w:r>
    </w:p>
    <w:p w14:paraId="20231B5D" w14:textId="77777777" w:rsidR="00E746C8" w:rsidRDefault="00E746C8">
      <w:pPr>
        <w:pStyle w:val="Default"/>
      </w:pPr>
    </w:p>
    <w:p w14:paraId="7DDD9147" w14:textId="3E4784B8" w:rsidR="00E746C8" w:rsidRDefault="006002D2">
      <w:pPr>
        <w:pStyle w:val="Default"/>
        <w:rPr>
          <w:b/>
          <w:bCs/>
        </w:rPr>
      </w:pPr>
      <w:r>
        <w:rPr>
          <w:b/>
          <w:bCs/>
        </w:rPr>
        <w:t>Gradimento</w:t>
      </w:r>
      <w:r w:rsidR="00A70345">
        <w:rPr>
          <w:b/>
          <w:bCs/>
        </w:rPr>
        <w:t>:</w:t>
      </w:r>
    </w:p>
    <w:p w14:paraId="381B5079" w14:textId="683C7F78" w:rsidR="00E746C8" w:rsidRPr="003C04AE" w:rsidRDefault="007D1F63" w:rsidP="00BD57E8">
      <w:pPr>
        <w:numPr>
          <w:ilvl w:val="0"/>
          <w:numId w:val="12"/>
        </w:numPr>
        <w:suppressAutoHyphens w:val="0"/>
        <w:jc w:val="both"/>
        <w:rPr>
          <w:rFonts w:ascii="Calibri" w:hAnsi="Calibri"/>
        </w:rPr>
      </w:pPr>
      <w:r>
        <w:rPr>
          <w:rFonts w:ascii="Calibri" w:hAnsi="Calibri"/>
          <w:kern w:val="0"/>
        </w:rPr>
        <w:t xml:space="preserve">Si conferma un trend positivo nella </w:t>
      </w:r>
      <w:r w:rsidR="006002D2">
        <w:rPr>
          <w:rFonts w:ascii="Calibri" w:hAnsi="Calibri"/>
          <w:kern w:val="0"/>
        </w:rPr>
        <w:t>percentuale di laurea</w:t>
      </w:r>
      <w:r>
        <w:rPr>
          <w:rFonts w:ascii="Calibri" w:hAnsi="Calibri"/>
          <w:kern w:val="0"/>
        </w:rPr>
        <w:t>ndi</w:t>
      </w:r>
      <w:r w:rsidR="006002D2">
        <w:rPr>
          <w:rFonts w:ascii="Calibri" w:hAnsi="Calibri"/>
          <w:kern w:val="0"/>
        </w:rPr>
        <w:t xml:space="preserve"> che hanno dichiarato la propria soddisfazione</w:t>
      </w:r>
      <w:r w:rsidR="00BD57E8">
        <w:rPr>
          <w:rFonts w:ascii="Calibri" w:hAnsi="Calibri"/>
          <w:kern w:val="0"/>
        </w:rPr>
        <w:t xml:space="preserve"> (iC25)</w:t>
      </w:r>
      <w:r>
        <w:rPr>
          <w:rFonts w:ascii="Calibri" w:hAnsi="Calibri"/>
          <w:kern w:val="0"/>
        </w:rPr>
        <w:t>, dato che raggiunge il 100%</w:t>
      </w:r>
      <w:r w:rsidR="006002D2">
        <w:rPr>
          <w:rFonts w:ascii="Calibri" w:hAnsi="Calibri"/>
          <w:kern w:val="0"/>
        </w:rPr>
        <w:t xml:space="preserve"> nel 201</w:t>
      </w:r>
      <w:r>
        <w:rPr>
          <w:rFonts w:ascii="Calibri" w:hAnsi="Calibri"/>
          <w:kern w:val="0"/>
        </w:rPr>
        <w:t>9</w:t>
      </w:r>
      <w:r w:rsidR="006002D2">
        <w:rPr>
          <w:rFonts w:ascii="Calibri" w:hAnsi="Calibri"/>
          <w:kern w:val="0"/>
        </w:rPr>
        <w:t xml:space="preserve"> </w:t>
      </w:r>
      <w:r>
        <w:rPr>
          <w:rFonts w:ascii="Calibri" w:hAnsi="Calibri"/>
          <w:kern w:val="0"/>
        </w:rPr>
        <w:t>posizionandosi al di sopra delle medie nazionali e dell’area geografica di riferimento.</w:t>
      </w:r>
      <w:r w:rsidR="00BD57E8">
        <w:rPr>
          <w:rFonts w:ascii="Calibri" w:hAnsi="Calibri"/>
          <w:kern w:val="0"/>
        </w:rPr>
        <w:t xml:space="preserve">  Anche l’indicatore iC18 conferma una tendenza molto positiva con una percentuale dell’89,5% di laureati che si iscriverebbero di nuovo al corso di studio, dato </w:t>
      </w:r>
      <w:r w:rsidR="004136FF">
        <w:rPr>
          <w:rFonts w:ascii="Calibri" w:hAnsi="Calibri"/>
          <w:kern w:val="0"/>
        </w:rPr>
        <w:t>leggermente</w:t>
      </w:r>
      <w:r w:rsidR="00BD57E8">
        <w:rPr>
          <w:rFonts w:ascii="Calibri" w:hAnsi="Calibri"/>
          <w:kern w:val="0"/>
        </w:rPr>
        <w:t xml:space="preserve"> superiore alla media dell’area geografica e nazionale</w:t>
      </w:r>
      <w:r w:rsidR="006002D2" w:rsidRPr="003C04AE">
        <w:rPr>
          <w:rFonts w:ascii="Calibri" w:hAnsi="Calibri"/>
          <w:kern w:val="0"/>
        </w:rPr>
        <w:t>.</w:t>
      </w:r>
    </w:p>
    <w:p w14:paraId="0AEAF938" w14:textId="77777777" w:rsidR="00E746C8" w:rsidRDefault="00E746C8">
      <w:pPr>
        <w:suppressAutoHyphens w:val="0"/>
        <w:jc w:val="both"/>
        <w:rPr>
          <w:rFonts w:ascii="Times" w:eastAsia="Times" w:hAnsi="Times" w:cs="Times"/>
          <w:kern w:val="0"/>
          <w:sz w:val="20"/>
          <w:szCs w:val="20"/>
        </w:rPr>
      </w:pPr>
    </w:p>
    <w:p w14:paraId="736782DA" w14:textId="77777777" w:rsidR="00E746C8" w:rsidRDefault="006002D2">
      <w:pPr>
        <w:suppressAutoHyphens w:val="0"/>
        <w:jc w:val="both"/>
        <w:rPr>
          <w:rFonts w:ascii="Calibri" w:eastAsia="Calibri" w:hAnsi="Calibri" w:cs="Calibri"/>
          <w:b/>
          <w:bCs/>
          <w:kern w:val="0"/>
        </w:rPr>
      </w:pPr>
      <w:r>
        <w:rPr>
          <w:rFonts w:ascii="Calibri" w:hAnsi="Calibri"/>
          <w:b/>
          <w:bCs/>
          <w:kern w:val="0"/>
        </w:rPr>
        <w:t xml:space="preserve">Conclusioni </w:t>
      </w:r>
    </w:p>
    <w:p w14:paraId="6513D729" w14:textId="77777777" w:rsidR="00E746C8" w:rsidRDefault="00E746C8">
      <w:pPr>
        <w:suppressAutoHyphens w:val="0"/>
        <w:jc w:val="both"/>
        <w:rPr>
          <w:rFonts w:ascii="Calibri" w:eastAsia="Calibri" w:hAnsi="Calibri" w:cs="Calibri"/>
          <w:b/>
          <w:bCs/>
          <w:kern w:val="0"/>
        </w:rPr>
      </w:pPr>
    </w:p>
    <w:p w14:paraId="45322460" w14:textId="5DBBB173" w:rsidR="00E746C8" w:rsidRPr="00A70345" w:rsidRDefault="006002D2">
      <w:pPr>
        <w:suppressAutoHyphens w:val="0"/>
        <w:jc w:val="both"/>
        <w:rPr>
          <w:rFonts w:ascii="Calibri" w:eastAsia="Calibri" w:hAnsi="Calibri" w:cs="Calibri"/>
          <w:b/>
          <w:bCs/>
          <w:kern w:val="0"/>
        </w:rPr>
      </w:pPr>
      <w:r w:rsidRPr="00A70345">
        <w:rPr>
          <w:rFonts w:ascii="Calibri" w:hAnsi="Calibri"/>
          <w:b/>
          <w:bCs/>
          <w:kern w:val="0"/>
        </w:rPr>
        <w:t>Punti di forza</w:t>
      </w:r>
    </w:p>
    <w:p w14:paraId="4DB75423" w14:textId="28D2AB19" w:rsidR="00A70345" w:rsidRDefault="00A70345">
      <w:pPr>
        <w:numPr>
          <w:ilvl w:val="0"/>
          <w:numId w:val="14"/>
        </w:numPr>
        <w:suppressAutoHyphens w:val="0"/>
        <w:jc w:val="both"/>
        <w:rPr>
          <w:rFonts w:ascii="Calibri" w:hAnsi="Calibri"/>
        </w:rPr>
      </w:pPr>
      <w:r>
        <w:rPr>
          <w:rFonts w:ascii="Calibri" w:hAnsi="Calibri"/>
        </w:rPr>
        <w:t>Equilibrio tra le due classi</w:t>
      </w:r>
    </w:p>
    <w:p w14:paraId="34FAA963" w14:textId="6005815C" w:rsidR="00A70345" w:rsidRPr="00A70345" w:rsidRDefault="00A70345">
      <w:pPr>
        <w:numPr>
          <w:ilvl w:val="0"/>
          <w:numId w:val="14"/>
        </w:numPr>
        <w:suppressAutoHyphens w:val="0"/>
        <w:jc w:val="both"/>
        <w:rPr>
          <w:rFonts w:ascii="Calibri" w:hAnsi="Calibri"/>
        </w:rPr>
      </w:pPr>
      <w:r>
        <w:rPr>
          <w:rFonts w:ascii="Calibri" w:hAnsi="Calibri"/>
        </w:rPr>
        <w:t>Valorizzazione dell’esperienza di tirocinio in relazione allo sviluppo della tesi di laurea e al placement</w:t>
      </w:r>
    </w:p>
    <w:p w14:paraId="317D49F5" w14:textId="52873E4E" w:rsidR="00E746C8" w:rsidRPr="00A70345" w:rsidRDefault="00A70345">
      <w:pPr>
        <w:numPr>
          <w:ilvl w:val="0"/>
          <w:numId w:val="14"/>
        </w:numPr>
        <w:suppressAutoHyphens w:val="0"/>
        <w:jc w:val="both"/>
        <w:rPr>
          <w:rFonts w:ascii="Calibri" w:hAnsi="Calibri"/>
        </w:rPr>
      </w:pPr>
      <w:r>
        <w:rPr>
          <w:rFonts w:ascii="Calibri" w:hAnsi="Calibri"/>
          <w:kern w:val="0"/>
        </w:rPr>
        <w:t>Q</w:t>
      </w:r>
      <w:r w:rsidR="006002D2">
        <w:rPr>
          <w:rFonts w:ascii="Calibri" w:hAnsi="Calibri"/>
          <w:kern w:val="0"/>
        </w:rPr>
        <w:t>ualità del corpo docente</w:t>
      </w:r>
    </w:p>
    <w:p w14:paraId="296E1DD0" w14:textId="28981404" w:rsidR="00A70345" w:rsidRDefault="00A70345">
      <w:pPr>
        <w:numPr>
          <w:ilvl w:val="0"/>
          <w:numId w:val="14"/>
        </w:numPr>
        <w:suppressAutoHyphens w:val="0"/>
        <w:jc w:val="both"/>
        <w:rPr>
          <w:rFonts w:ascii="Calibri" w:hAnsi="Calibri"/>
        </w:rPr>
      </w:pPr>
      <w:r>
        <w:rPr>
          <w:rFonts w:ascii="Calibri" w:hAnsi="Calibri"/>
          <w:kern w:val="0"/>
        </w:rPr>
        <w:t xml:space="preserve">Miglioramento del dato relativo alla </w:t>
      </w:r>
      <w:proofErr w:type="spellStart"/>
      <w:r>
        <w:rPr>
          <w:rFonts w:ascii="Calibri" w:hAnsi="Calibri"/>
          <w:kern w:val="0"/>
        </w:rPr>
        <w:t>laureabilità</w:t>
      </w:r>
      <w:proofErr w:type="spellEnd"/>
    </w:p>
    <w:p w14:paraId="2E8B1911" w14:textId="29F8227F" w:rsidR="00E746C8" w:rsidRPr="00A70345" w:rsidRDefault="00A70345">
      <w:pPr>
        <w:numPr>
          <w:ilvl w:val="0"/>
          <w:numId w:val="14"/>
        </w:numPr>
        <w:suppressAutoHyphens w:val="0"/>
        <w:jc w:val="both"/>
        <w:rPr>
          <w:rFonts w:ascii="Calibri" w:hAnsi="Calibri"/>
        </w:rPr>
      </w:pPr>
      <w:r>
        <w:rPr>
          <w:rFonts w:ascii="Calibri" w:hAnsi="Calibri"/>
          <w:kern w:val="0"/>
        </w:rPr>
        <w:t>B</w:t>
      </w:r>
      <w:r w:rsidR="006002D2" w:rsidRPr="00A70345">
        <w:rPr>
          <w:rFonts w:ascii="Calibri" w:hAnsi="Calibri"/>
          <w:kern w:val="0"/>
        </w:rPr>
        <w:t>uona percentuale di occupazione dei laureati</w:t>
      </w:r>
    </w:p>
    <w:p w14:paraId="294D6B95" w14:textId="321FCE41" w:rsidR="00E746C8" w:rsidRPr="00A70345" w:rsidRDefault="00A70345">
      <w:pPr>
        <w:numPr>
          <w:ilvl w:val="0"/>
          <w:numId w:val="14"/>
        </w:numPr>
        <w:suppressAutoHyphens w:val="0"/>
        <w:jc w:val="both"/>
        <w:rPr>
          <w:rFonts w:ascii="Calibri" w:hAnsi="Calibri"/>
        </w:rPr>
      </w:pPr>
      <w:r>
        <w:rPr>
          <w:rFonts w:ascii="Calibri" w:hAnsi="Calibri"/>
          <w:kern w:val="0"/>
        </w:rPr>
        <w:t>B</w:t>
      </w:r>
      <w:r w:rsidR="006002D2" w:rsidRPr="00A70345">
        <w:rPr>
          <w:rFonts w:ascii="Calibri" w:hAnsi="Calibri"/>
          <w:kern w:val="0"/>
        </w:rPr>
        <w:t>uon livello di attrattività</w:t>
      </w:r>
    </w:p>
    <w:p w14:paraId="7D9ADDB3" w14:textId="543093CC" w:rsidR="002D0209" w:rsidRPr="00A70345" w:rsidRDefault="00A70345" w:rsidP="002D0209">
      <w:pPr>
        <w:numPr>
          <w:ilvl w:val="0"/>
          <w:numId w:val="14"/>
        </w:numPr>
        <w:suppressAutoHyphens w:val="0"/>
        <w:jc w:val="both"/>
        <w:rPr>
          <w:rFonts w:ascii="Calibri" w:hAnsi="Calibri"/>
        </w:rPr>
      </w:pPr>
      <w:r>
        <w:rPr>
          <w:rFonts w:ascii="Calibri" w:hAnsi="Calibri"/>
          <w:kern w:val="0"/>
        </w:rPr>
        <w:t>I</w:t>
      </w:r>
      <w:r w:rsidR="002D0209" w:rsidRPr="00A70345">
        <w:rPr>
          <w:rFonts w:ascii="Calibri" w:hAnsi="Calibri"/>
          <w:kern w:val="0"/>
        </w:rPr>
        <w:t>nternazionalizzazione</w:t>
      </w:r>
    </w:p>
    <w:p w14:paraId="6A95F1FE" w14:textId="0E4D13EB" w:rsidR="00F951F1" w:rsidRPr="00A70345" w:rsidRDefault="00A70345" w:rsidP="002D0209">
      <w:pPr>
        <w:numPr>
          <w:ilvl w:val="0"/>
          <w:numId w:val="14"/>
        </w:numPr>
        <w:suppressAutoHyphens w:val="0"/>
        <w:jc w:val="both"/>
        <w:rPr>
          <w:rFonts w:ascii="Calibri" w:hAnsi="Calibri"/>
        </w:rPr>
      </w:pPr>
      <w:r>
        <w:rPr>
          <w:rFonts w:ascii="Calibri" w:hAnsi="Calibri"/>
        </w:rPr>
        <w:t>A</w:t>
      </w:r>
      <w:r w:rsidRPr="00A70345">
        <w:rPr>
          <w:rFonts w:ascii="Calibri" w:hAnsi="Calibri"/>
        </w:rPr>
        <w:t xml:space="preserve">lto livello di </w:t>
      </w:r>
      <w:r w:rsidR="00F951F1" w:rsidRPr="00A70345">
        <w:rPr>
          <w:rFonts w:ascii="Calibri" w:hAnsi="Calibri"/>
        </w:rPr>
        <w:t>gradimento</w:t>
      </w:r>
    </w:p>
    <w:p w14:paraId="18D1DE3E" w14:textId="77777777" w:rsidR="00A70345" w:rsidRDefault="00A70345">
      <w:pPr>
        <w:suppressAutoHyphens w:val="0"/>
        <w:jc w:val="both"/>
        <w:rPr>
          <w:rFonts w:ascii="Calibri" w:hAnsi="Calibri"/>
          <w:kern w:val="0"/>
        </w:rPr>
      </w:pPr>
    </w:p>
    <w:p w14:paraId="1A24F4C5" w14:textId="4590C3FE" w:rsidR="00E746C8" w:rsidRPr="00A70345" w:rsidRDefault="006002D2">
      <w:pPr>
        <w:suppressAutoHyphens w:val="0"/>
        <w:jc w:val="both"/>
        <w:rPr>
          <w:rFonts w:ascii="Calibri" w:eastAsia="Calibri" w:hAnsi="Calibri" w:cs="Calibri"/>
          <w:b/>
          <w:bCs/>
          <w:kern w:val="0"/>
        </w:rPr>
      </w:pPr>
      <w:r w:rsidRPr="00A70345">
        <w:rPr>
          <w:rFonts w:ascii="Calibri" w:hAnsi="Calibri"/>
          <w:b/>
          <w:bCs/>
          <w:kern w:val="0"/>
        </w:rPr>
        <w:t>Criticità</w:t>
      </w:r>
    </w:p>
    <w:p w14:paraId="16CEE18A" w14:textId="77777777" w:rsidR="00E746C8" w:rsidRDefault="006002D2">
      <w:pPr>
        <w:pStyle w:val="Default"/>
        <w:numPr>
          <w:ilvl w:val="0"/>
          <w:numId w:val="16"/>
        </w:numPr>
      </w:pPr>
      <w:r>
        <w:rPr>
          <w:kern w:val="0"/>
        </w:rPr>
        <w:t>Acquisizione CFU nel passaggio dal primo al secondo anno</w:t>
      </w:r>
    </w:p>
    <w:p w14:paraId="6A405C72" w14:textId="77777777" w:rsidR="00A70345" w:rsidRDefault="00A70345">
      <w:pPr>
        <w:pStyle w:val="Default"/>
      </w:pPr>
    </w:p>
    <w:p w14:paraId="72270AF3" w14:textId="3E01E87A" w:rsidR="00E746C8" w:rsidRPr="00A70345" w:rsidRDefault="006002D2">
      <w:pPr>
        <w:pStyle w:val="Default"/>
        <w:rPr>
          <w:b/>
          <w:bCs/>
        </w:rPr>
      </w:pPr>
      <w:r w:rsidRPr="00A70345">
        <w:rPr>
          <w:b/>
          <w:bCs/>
        </w:rPr>
        <w:t xml:space="preserve">Aree di miglioramento </w:t>
      </w:r>
    </w:p>
    <w:p w14:paraId="5EDBF0FB" w14:textId="77777777" w:rsidR="00E746C8" w:rsidRDefault="006002D2">
      <w:pPr>
        <w:pStyle w:val="Default"/>
        <w:tabs>
          <w:tab w:val="left" w:pos="708"/>
        </w:tabs>
        <w:ind w:left="12" w:hanging="12"/>
      </w:pPr>
      <w:r>
        <w:tab/>
      </w:r>
      <w:r>
        <w:tab/>
        <w:t xml:space="preserve">Il </w:t>
      </w:r>
      <w:proofErr w:type="spellStart"/>
      <w:r>
        <w:t>CdS</w:t>
      </w:r>
      <w:proofErr w:type="spellEnd"/>
      <w:r>
        <w:t xml:space="preserve"> si impegna per il miglioramento nelle seguenti aree:</w:t>
      </w:r>
    </w:p>
    <w:p w14:paraId="0D2D0F0C" w14:textId="77777777" w:rsidR="00A70345" w:rsidRDefault="006002D2" w:rsidP="00A70345">
      <w:pPr>
        <w:pStyle w:val="Default"/>
        <w:numPr>
          <w:ilvl w:val="0"/>
          <w:numId w:val="18"/>
        </w:numPr>
      </w:pPr>
      <w:r>
        <w:rPr>
          <w:kern w:val="0"/>
          <w:shd w:val="clear" w:color="auto" w:fill="FFFFFF"/>
        </w:rPr>
        <w:t>conseguimento CFU nel passaggio tra primo e secondo anno</w:t>
      </w:r>
      <w:r w:rsidR="00A70345">
        <w:rPr>
          <w:kern w:val="0"/>
          <w:shd w:val="clear" w:color="auto" w:fill="FFFFFF"/>
        </w:rPr>
        <w:t xml:space="preserve"> con avvio di una strategia di monitoraggio e di accompagnamento per il recupero di eventuali CFU</w:t>
      </w:r>
      <w:r>
        <w:rPr>
          <w:kern w:val="0"/>
          <w:shd w:val="clear" w:color="auto" w:fill="FFFFFF"/>
        </w:rPr>
        <w:t xml:space="preserve"> </w:t>
      </w:r>
    </w:p>
    <w:p w14:paraId="6D339796" w14:textId="14A6ED85" w:rsidR="00E746C8" w:rsidRDefault="006002D2" w:rsidP="00A70345">
      <w:pPr>
        <w:pStyle w:val="Default"/>
        <w:numPr>
          <w:ilvl w:val="0"/>
          <w:numId w:val="18"/>
        </w:numPr>
      </w:pPr>
      <w:r w:rsidRPr="00A70345">
        <w:rPr>
          <w:kern w:val="0"/>
          <w:shd w:val="clear" w:color="auto" w:fill="FFFFFF"/>
        </w:rPr>
        <w:t>orientamento in ingresso e rafforzamento della filiera con la L19</w:t>
      </w:r>
    </w:p>
    <w:p w14:paraId="281CC3E0" w14:textId="77777777" w:rsidR="00A70345" w:rsidRDefault="00A70345" w:rsidP="00A70345">
      <w:pPr>
        <w:pStyle w:val="Default"/>
        <w:ind w:left="720"/>
      </w:pPr>
    </w:p>
    <w:p w14:paraId="343DEC37" w14:textId="0DAB8D10" w:rsidR="00E746C8" w:rsidRPr="00A70345" w:rsidRDefault="006002D2">
      <w:pPr>
        <w:pStyle w:val="Default"/>
        <w:rPr>
          <w:b/>
          <w:bCs/>
        </w:rPr>
      </w:pPr>
      <w:r w:rsidRPr="00A70345">
        <w:rPr>
          <w:b/>
          <w:bCs/>
        </w:rPr>
        <w:t>Azioni</w:t>
      </w:r>
      <w:r w:rsidR="00E42447">
        <w:rPr>
          <w:b/>
          <w:bCs/>
        </w:rPr>
        <w:t xml:space="preserve"> di miglioramento</w:t>
      </w:r>
    </w:p>
    <w:p w14:paraId="469BB7A5" w14:textId="762E156A" w:rsidR="00E746C8" w:rsidRDefault="00E42447">
      <w:pPr>
        <w:pStyle w:val="Default"/>
        <w:numPr>
          <w:ilvl w:val="0"/>
          <w:numId w:val="18"/>
        </w:numPr>
      </w:pPr>
      <w:r>
        <w:t>i</w:t>
      </w:r>
      <w:r w:rsidR="006002D2">
        <w:t>nserimento di un punto all’</w:t>
      </w:r>
      <w:proofErr w:type="spellStart"/>
      <w:r w:rsidR="006002D2">
        <w:t>OdG</w:t>
      </w:r>
      <w:proofErr w:type="spellEnd"/>
      <w:r w:rsidR="006002D2">
        <w:t xml:space="preserve"> nei </w:t>
      </w:r>
      <w:proofErr w:type="spellStart"/>
      <w:r w:rsidR="006002D2">
        <w:t>CCdLM</w:t>
      </w:r>
      <w:proofErr w:type="spellEnd"/>
      <w:r w:rsidR="006002D2">
        <w:t xml:space="preserve"> a chiusura di ciascun semestre per monitorare </w:t>
      </w:r>
      <w:r w:rsidR="006002D2">
        <w:rPr>
          <w:kern w:val="0"/>
          <w:shd w:val="clear" w:color="auto" w:fill="FFFFFF"/>
        </w:rPr>
        <w:t>numero dei CFU conseguiti</w:t>
      </w:r>
      <w:r w:rsidR="006002D2">
        <w:t xml:space="preserve"> e il numero di lauree</w:t>
      </w:r>
    </w:p>
    <w:p w14:paraId="60F88030" w14:textId="5B48CA8D" w:rsidR="00E42447" w:rsidRDefault="00E42447">
      <w:pPr>
        <w:pStyle w:val="Default"/>
        <w:numPr>
          <w:ilvl w:val="0"/>
          <w:numId w:val="18"/>
        </w:numPr>
      </w:pPr>
      <w:r>
        <w:t>monitoraggio del numero di esami caratterizzanti superati al primo anno</w:t>
      </w:r>
    </w:p>
    <w:p w14:paraId="5EE12196" w14:textId="5DCCE2A8" w:rsidR="00E746C8" w:rsidRDefault="00E42447">
      <w:pPr>
        <w:pStyle w:val="Default"/>
        <w:numPr>
          <w:ilvl w:val="0"/>
          <w:numId w:val="18"/>
        </w:numPr>
      </w:pPr>
      <w:r>
        <w:lastRenderedPageBreak/>
        <w:t>mettere a sistema la</w:t>
      </w:r>
      <w:r w:rsidR="006002D2">
        <w:t xml:space="preserve"> programmazione integrata e complementare di </w:t>
      </w:r>
      <w:r>
        <w:t>più</w:t>
      </w:r>
      <w:r w:rsidR="006002D2">
        <w:t xml:space="preserve"> insegnamenti </w:t>
      </w:r>
      <w:r>
        <w:t>nei due anni</w:t>
      </w:r>
    </w:p>
    <w:p w14:paraId="1FB70199" w14:textId="6B3EAE6D" w:rsidR="00E746C8" w:rsidRDefault="00E42447">
      <w:pPr>
        <w:pStyle w:val="Default"/>
        <w:numPr>
          <w:ilvl w:val="0"/>
          <w:numId w:val="18"/>
        </w:numPr>
      </w:pPr>
      <w:r>
        <w:t>c</w:t>
      </w:r>
      <w:r w:rsidR="006002D2">
        <w:t xml:space="preserve">ostituzione di una Commissione per la definizione di un protocollo di orientamento in filiera e realizzazione di almeno un evento tra L19 e LM57/85 anche ai fini dell’orientamento Erasmus </w:t>
      </w:r>
    </w:p>
    <w:p w14:paraId="085F50D1" w14:textId="1A94A71E" w:rsidR="00E42447" w:rsidRDefault="00E42447" w:rsidP="00E42447">
      <w:pPr>
        <w:pStyle w:val="Default"/>
        <w:numPr>
          <w:ilvl w:val="0"/>
          <w:numId w:val="18"/>
        </w:numPr>
      </w:pPr>
      <w:r>
        <w:t xml:space="preserve">promuovere iniziative di </w:t>
      </w:r>
      <w:proofErr w:type="spellStart"/>
      <w:r>
        <w:t>Internationalization</w:t>
      </w:r>
      <w:proofErr w:type="spellEnd"/>
      <w:r>
        <w:t xml:space="preserve"> </w:t>
      </w:r>
      <w:proofErr w:type="spellStart"/>
      <w:r>
        <w:t>at</w:t>
      </w:r>
      <w:proofErr w:type="spellEnd"/>
      <w:r>
        <w:t xml:space="preserve"> Home</w:t>
      </w:r>
    </w:p>
    <w:p w14:paraId="4AC51DAD" w14:textId="26EF9358" w:rsidR="00E746C8" w:rsidRDefault="006002D2">
      <w:pPr>
        <w:pStyle w:val="Default"/>
        <w:numPr>
          <w:ilvl w:val="0"/>
          <w:numId w:val="18"/>
        </w:numPr>
      </w:pPr>
      <w:r>
        <w:t>realizzare almeno due iniziative di orientamento in uscita anche in sinergia con i Career services di Ateneo.</w:t>
      </w:r>
    </w:p>
    <w:sectPr w:rsidR="00E746C8">
      <w:headerReference w:type="even" r:id="rId8"/>
      <w:headerReference w:type="default" r:id="rId9"/>
      <w:footerReference w:type="even" r:id="rId10"/>
      <w:footerReference w:type="default" r:id="rId11"/>
      <w:headerReference w:type="first" r:id="rId12"/>
      <w:footerReference w:type="first" r:id="rId13"/>
      <w:pgSz w:w="11900" w:h="16840"/>
      <w:pgMar w:top="2806" w:right="1841"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9DC0" w14:textId="77777777" w:rsidR="003255C2" w:rsidRDefault="003255C2">
      <w:r>
        <w:separator/>
      </w:r>
    </w:p>
  </w:endnote>
  <w:endnote w:type="continuationSeparator" w:id="0">
    <w:p w14:paraId="1A474395" w14:textId="77777777" w:rsidR="003255C2" w:rsidRDefault="0032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2E25" w14:textId="77777777" w:rsidR="00BC0C32" w:rsidRDefault="00BC0C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35F3" w14:textId="77777777" w:rsidR="00E746C8" w:rsidRDefault="00E746C8">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5C72" w14:textId="77777777" w:rsidR="00BC0C32" w:rsidRDefault="00BC0C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7D3A" w14:textId="77777777" w:rsidR="003255C2" w:rsidRDefault="003255C2">
      <w:r>
        <w:separator/>
      </w:r>
    </w:p>
  </w:footnote>
  <w:footnote w:type="continuationSeparator" w:id="0">
    <w:p w14:paraId="12007223" w14:textId="77777777" w:rsidR="003255C2" w:rsidRDefault="0032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FB04" w14:textId="77777777" w:rsidR="00BC0C32" w:rsidRDefault="00BC0C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F67B" w14:textId="77777777" w:rsidR="00E746C8" w:rsidRDefault="006002D2">
    <w:pPr>
      <w:pStyle w:val="Intestazione"/>
      <w:tabs>
        <w:tab w:val="clear" w:pos="4819"/>
        <w:tab w:val="clear" w:pos="9638"/>
        <w:tab w:val="left" w:pos="5670"/>
      </w:tabs>
    </w:pPr>
    <w:r>
      <w:rPr>
        <w:noProof/>
      </w:rPr>
      <mc:AlternateContent>
        <mc:Choice Requires="wpg">
          <w:drawing>
            <wp:inline distT="0" distB="0" distL="0" distR="0" wp14:anchorId="766635CC" wp14:editId="4A2AB8DD">
              <wp:extent cx="1913840" cy="996781"/>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1913840" cy="996781"/>
                        <a:chOff x="0" y="0"/>
                        <a:chExt cx="1913839" cy="996780"/>
                      </a:xfrm>
                    </wpg:grpSpPr>
                    <wps:wsp>
                      <wps:cNvPr id="1073741825" name="Shape 1073741825"/>
                      <wps:cNvSpPr/>
                      <wps:spPr>
                        <a:xfrm>
                          <a:off x="0" y="-1"/>
                          <a:ext cx="1913840" cy="996781"/>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alphaModFix amt="0"/>
                        </a:blip>
                        <a:stretch>
                          <a:fillRect/>
                        </a:stretch>
                      </pic:blipFill>
                      <pic:spPr>
                        <a:xfrm>
                          <a:off x="436" y="501"/>
                          <a:ext cx="1912967" cy="995778"/>
                        </a:xfrm>
                        <a:prstGeom prst="rect">
                          <a:avLst/>
                        </a:prstGeom>
                        <a:ln w="12700" cap="flat">
                          <a:noFill/>
                          <a:miter lim="400000"/>
                        </a:ln>
                        <a:effectLst/>
                      </pic:spPr>
                    </pic:pic>
                  </wpg:wgp>
                </a:graphicData>
              </a:graphic>
            </wp:inline>
          </w:drawing>
        </mc:Choice>
        <mc:Fallback>
          <w:pict>
            <v:group id="_x0000_s1026" style="visibility:visible;width:150.7pt;height:78.5pt;" coordorigin="0,0" coordsize="1913840,996780">
              <v:rect id="_x0000_s1027" style="position:absolute;left:0;top:0;width:1913840;height:996780;">
                <v:fill color="#FFFFFF" opacity="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437;top:501;width:1912966;height:995778;">
                <v:imagedata r:id="rId2" o:title="image1.png"/>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1291" w14:textId="77777777" w:rsidR="00BC0C32" w:rsidRDefault="00BC0C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7E4"/>
    <w:multiLevelType w:val="hybridMultilevel"/>
    <w:tmpl w:val="D6FAD266"/>
    <w:numStyleLink w:val="Stileimportato7"/>
  </w:abstractNum>
  <w:abstractNum w:abstractNumId="1" w15:restartNumberingAfterBreak="0">
    <w:nsid w:val="0C752748"/>
    <w:multiLevelType w:val="hybridMultilevel"/>
    <w:tmpl w:val="6FBABB9E"/>
    <w:styleLink w:val="Stileimportato3"/>
    <w:lvl w:ilvl="0" w:tplc="2DFA558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1" w:tplc="A9D24BDE">
      <w:start w:val="1"/>
      <w:numFmt w:val="bullet"/>
      <w:lvlText w:val="·"/>
      <w:lvlJc w:val="left"/>
      <w:pPr>
        <w:tabs>
          <w:tab w:val="left" w:pos="708"/>
          <w:tab w:val="num" w:pos="1068"/>
        </w:tabs>
        <w:ind w:left="108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2" w:tplc="0EE6DEAC">
      <w:start w:val="1"/>
      <w:numFmt w:val="bullet"/>
      <w:lvlText w:val="·"/>
      <w:lvlJc w:val="left"/>
      <w:pPr>
        <w:tabs>
          <w:tab w:val="left" w:pos="708"/>
          <w:tab w:val="num" w:pos="1788"/>
        </w:tabs>
        <w:ind w:left="180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3" w:tplc="0C9E5B2E">
      <w:start w:val="1"/>
      <w:numFmt w:val="bullet"/>
      <w:lvlText w:val="·"/>
      <w:lvlJc w:val="left"/>
      <w:pPr>
        <w:tabs>
          <w:tab w:val="left" w:pos="708"/>
          <w:tab w:val="num" w:pos="2508"/>
        </w:tabs>
        <w:ind w:left="252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4" w:tplc="52A03340">
      <w:start w:val="1"/>
      <w:numFmt w:val="bullet"/>
      <w:lvlText w:val="·"/>
      <w:lvlJc w:val="left"/>
      <w:pPr>
        <w:tabs>
          <w:tab w:val="left" w:pos="708"/>
          <w:tab w:val="num" w:pos="3228"/>
        </w:tabs>
        <w:ind w:left="324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5" w:tplc="82CE7772">
      <w:start w:val="1"/>
      <w:numFmt w:val="bullet"/>
      <w:lvlText w:val="·"/>
      <w:lvlJc w:val="left"/>
      <w:pPr>
        <w:tabs>
          <w:tab w:val="left" w:pos="708"/>
          <w:tab w:val="num" w:pos="3948"/>
        </w:tabs>
        <w:ind w:left="396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6" w:tplc="B15A5538">
      <w:start w:val="1"/>
      <w:numFmt w:val="bullet"/>
      <w:lvlText w:val="·"/>
      <w:lvlJc w:val="left"/>
      <w:pPr>
        <w:tabs>
          <w:tab w:val="left" w:pos="708"/>
          <w:tab w:val="num" w:pos="4668"/>
        </w:tabs>
        <w:ind w:left="468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7" w:tplc="9CBA27CE">
      <w:start w:val="1"/>
      <w:numFmt w:val="bullet"/>
      <w:lvlText w:val="·"/>
      <w:lvlJc w:val="left"/>
      <w:pPr>
        <w:tabs>
          <w:tab w:val="left" w:pos="708"/>
          <w:tab w:val="num" w:pos="5388"/>
        </w:tabs>
        <w:ind w:left="540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lvl w:ilvl="8" w:tplc="75A81B30">
      <w:start w:val="1"/>
      <w:numFmt w:val="bullet"/>
      <w:lvlText w:val="·"/>
      <w:lvlJc w:val="left"/>
      <w:pPr>
        <w:tabs>
          <w:tab w:val="left" w:pos="708"/>
          <w:tab w:val="num" w:pos="6108"/>
        </w:tabs>
        <w:ind w:left="612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sz w:val="22"/>
        <w:szCs w:val="22"/>
        <w:highlight w:val="none"/>
        <w:vertAlign w:val="baseline"/>
      </w:rPr>
    </w:lvl>
  </w:abstractNum>
  <w:abstractNum w:abstractNumId="2" w15:restartNumberingAfterBreak="0">
    <w:nsid w:val="10221813"/>
    <w:multiLevelType w:val="hybridMultilevel"/>
    <w:tmpl w:val="11368994"/>
    <w:numStyleLink w:val="Stileimportato8"/>
  </w:abstractNum>
  <w:abstractNum w:abstractNumId="3" w15:restartNumberingAfterBreak="0">
    <w:nsid w:val="10FA0CE3"/>
    <w:multiLevelType w:val="hybridMultilevel"/>
    <w:tmpl w:val="FEBE866E"/>
    <w:numStyleLink w:val="Stileimportato2"/>
  </w:abstractNum>
  <w:abstractNum w:abstractNumId="4" w15:restartNumberingAfterBreak="0">
    <w:nsid w:val="17F13945"/>
    <w:multiLevelType w:val="hybridMultilevel"/>
    <w:tmpl w:val="6FBABB9E"/>
    <w:numStyleLink w:val="Stileimportato3"/>
  </w:abstractNum>
  <w:abstractNum w:abstractNumId="5" w15:restartNumberingAfterBreak="0">
    <w:nsid w:val="1C470884"/>
    <w:multiLevelType w:val="hybridMultilevel"/>
    <w:tmpl w:val="9D1A9AE6"/>
    <w:styleLink w:val="Stileimportato4"/>
    <w:lvl w:ilvl="0" w:tplc="F5B482E4">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27C5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EEE4D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A9C7E">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243F1A">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406F9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8E160C">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BE1C7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34BC4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F1E5B"/>
    <w:multiLevelType w:val="hybridMultilevel"/>
    <w:tmpl w:val="81C4CE04"/>
    <w:numStyleLink w:val="Stileimportato1"/>
  </w:abstractNum>
  <w:abstractNum w:abstractNumId="7" w15:restartNumberingAfterBreak="0">
    <w:nsid w:val="26FD792F"/>
    <w:multiLevelType w:val="hybridMultilevel"/>
    <w:tmpl w:val="DCCAF330"/>
    <w:numStyleLink w:val="Puntielenco"/>
  </w:abstractNum>
  <w:abstractNum w:abstractNumId="8" w15:restartNumberingAfterBreak="0">
    <w:nsid w:val="3FC05EC2"/>
    <w:multiLevelType w:val="hybridMultilevel"/>
    <w:tmpl w:val="11368994"/>
    <w:styleLink w:val="Stileimportato8"/>
    <w:lvl w:ilvl="0" w:tplc="8ED4025A">
      <w:start w:val="1"/>
      <w:numFmt w:val="bullet"/>
      <w:lvlText w:val="-"/>
      <w:lvlJc w:val="left"/>
      <w:pPr>
        <w:tabs>
          <w:tab w:val="num" w:pos="708"/>
        </w:tabs>
        <w:ind w:left="7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A476EEAE">
      <w:start w:val="1"/>
      <w:numFmt w:val="bullet"/>
      <w:lvlText w:val="o"/>
      <w:lvlJc w:val="left"/>
      <w:pPr>
        <w:tabs>
          <w:tab w:val="left" w:pos="708"/>
          <w:tab w:val="num" w:pos="1416"/>
        </w:tabs>
        <w:ind w:left="1428" w:hanging="34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3BD6F30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6AA828">
      <w:start w:val="1"/>
      <w:numFmt w:val="bullet"/>
      <w:lvlText w:val="•"/>
      <w:lvlJc w:val="left"/>
      <w:pPr>
        <w:tabs>
          <w:tab w:val="left" w:pos="708"/>
          <w:tab w:val="num" w:pos="2832"/>
        </w:tabs>
        <w:ind w:left="2844" w:hanging="32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B476B902">
      <w:start w:val="1"/>
      <w:numFmt w:val="bullet"/>
      <w:lvlText w:val="o"/>
      <w:lvlJc w:val="left"/>
      <w:pPr>
        <w:tabs>
          <w:tab w:val="left" w:pos="708"/>
          <w:tab w:val="num" w:pos="3540"/>
        </w:tabs>
        <w:ind w:left="3552" w:hanging="312"/>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2354A5C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CAF60A">
      <w:start w:val="1"/>
      <w:numFmt w:val="bullet"/>
      <w:lvlText w:val="•"/>
      <w:lvlJc w:val="left"/>
      <w:pPr>
        <w:tabs>
          <w:tab w:val="left" w:pos="708"/>
          <w:tab w:val="num" w:pos="4956"/>
        </w:tabs>
        <w:ind w:left="4968" w:hanging="2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6928BD52">
      <w:start w:val="1"/>
      <w:numFmt w:val="bullet"/>
      <w:lvlText w:val="o"/>
      <w:lvlJc w:val="left"/>
      <w:pPr>
        <w:tabs>
          <w:tab w:val="left" w:pos="708"/>
          <w:tab w:val="num" w:pos="5664"/>
        </w:tabs>
        <w:ind w:left="5676" w:hanging="2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85E88A4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06487A"/>
    <w:multiLevelType w:val="hybridMultilevel"/>
    <w:tmpl w:val="B5923188"/>
    <w:numStyleLink w:val="Stileimportato6"/>
  </w:abstractNum>
  <w:abstractNum w:abstractNumId="10" w15:restartNumberingAfterBreak="0">
    <w:nsid w:val="41437BCB"/>
    <w:multiLevelType w:val="hybridMultilevel"/>
    <w:tmpl w:val="CB168B02"/>
    <w:styleLink w:val="Stileimportato5"/>
    <w:lvl w:ilvl="0" w:tplc="3A346F46">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04F5A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891A8">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C6900C">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204FA8">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821B9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42388">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00D9D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0FFC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CC2FEE"/>
    <w:multiLevelType w:val="hybridMultilevel"/>
    <w:tmpl w:val="D6FAD266"/>
    <w:styleLink w:val="Stileimportato7"/>
    <w:lvl w:ilvl="0" w:tplc="215E5840">
      <w:start w:val="1"/>
      <w:numFmt w:val="bullet"/>
      <w:lvlText w:val="-"/>
      <w:lvlJc w:val="left"/>
      <w:pPr>
        <w:tabs>
          <w:tab w:val="num" w:pos="708"/>
        </w:tabs>
        <w:ind w:left="7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F07A3CDA">
      <w:start w:val="1"/>
      <w:numFmt w:val="bullet"/>
      <w:lvlText w:val="o"/>
      <w:lvlJc w:val="left"/>
      <w:pPr>
        <w:tabs>
          <w:tab w:val="left" w:pos="708"/>
          <w:tab w:val="num" w:pos="1416"/>
        </w:tabs>
        <w:ind w:left="1428" w:hanging="34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06A4397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2AEE04">
      <w:start w:val="1"/>
      <w:numFmt w:val="bullet"/>
      <w:lvlText w:val="•"/>
      <w:lvlJc w:val="left"/>
      <w:pPr>
        <w:tabs>
          <w:tab w:val="left" w:pos="708"/>
          <w:tab w:val="num" w:pos="2832"/>
        </w:tabs>
        <w:ind w:left="2844" w:hanging="32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C6DEB700">
      <w:start w:val="1"/>
      <w:numFmt w:val="bullet"/>
      <w:lvlText w:val="o"/>
      <w:lvlJc w:val="left"/>
      <w:pPr>
        <w:tabs>
          <w:tab w:val="left" w:pos="708"/>
          <w:tab w:val="num" w:pos="3540"/>
        </w:tabs>
        <w:ind w:left="3552" w:hanging="312"/>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EEC0CA9A">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089E56">
      <w:start w:val="1"/>
      <w:numFmt w:val="bullet"/>
      <w:lvlText w:val="•"/>
      <w:lvlJc w:val="left"/>
      <w:pPr>
        <w:tabs>
          <w:tab w:val="left" w:pos="708"/>
          <w:tab w:val="num" w:pos="4956"/>
        </w:tabs>
        <w:ind w:left="4968" w:hanging="2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DB92E898">
      <w:start w:val="1"/>
      <w:numFmt w:val="bullet"/>
      <w:lvlText w:val="o"/>
      <w:lvlJc w:val="left"/>
      <w:pPr>
        <w:tabs>
          <w:tab w:val="left" w:pos="708"/>
          <w:tab w:val="num" w:pos="5664"/>
        </w:tabs>
        <w:ind w:left="5676" w:hanging="2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A4B08BF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443BD0"/>
    <w:multiLevelType w:val="hybridMultilevel"/>
    <w:tmpl w:val="B5923188"/>
    <w:styleLink w:val="Stileimportato6"/>
    <w:lvl w:ilvl="0" w:tplc="96CA645E">
      <w:start w:val="1"/>
      <w:numFmt w:val="bullet"/>
      <w:lvlText w:val="-"/>
      <w:lvlJc w:val="left"/>
      <w:pPr>
        <w:tabs>
          <w:tab w:val="num" w:pos="708"/>
        </w:tabs>
        <w:ind w:left="7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F2E87704">
      <w:start w:val="1"/>
      <w:numFmt w:val="bullet"/>
      <w:lvlText w:val="o"/>
      <w:lvlJc w:val="left"/>
      <w:pPr>
        <w:tabs>
          <w:tab w:val="left" w:pos="708"/>
          <w:tab w:val="num" w:pos="1416"/>
        </w:tabs>
        <w:ind w:left="1428" w:hanging="34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76A06C4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080160">
      <w:start w:val="1"/>
      <w:numFmt w:val="bullet"/>
      <w:lvlText w:val="•"/>
      <w:lvlJc w:val="left"/>
      <w:pPr>
        <w:tabs>
          <w:tab w:val="left" w:pos="708"/>
          <w:tab w:val="num" w:pos="2832"/>
        </w:tabs>
        <w:ind w:left="2844" w:hanging="32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360CE812">
      <w:start w:val="1"/>
      <w:numFmt w:val="bullet"/>
      <w:lvlText w:val="o"/>
      <w:lvlJc w:val="left"/>
      <w:pPr>
        <w:tabs>
          <w:tab w:val="left" w:pos="708"/>
          <w:tab w:val="num" w:pos="3540"/>
        </w:tabs>
        <w:ind w:left="3552" w:hanging="312"/>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994EB18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624CB4">
      <w:start w:val="1"/>
      <w:numFmt w:val="bullet"/>
      <w:lvlText w:val="•"/>
      <w:lvlJc w:val="left"/>
      <w:pPr>
        <w:tabs>
          <w:tab w:val="left" w:pos="708"/>
          <w:tab w:val="num" w:pos="4956"/>
        </w:tabs>
        <w:ind w:left="4968" w:hanging="2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F2E04098">
      <w:start w:val="1"/>
      <w:numFmt w:val="bullet"/>
      <w:lvlText w:val="o"/>
      <w:lvlJc w:val="left"/>
      <w:pPr>
        <w:tabs>
          <w:tab w:val="left" w:pos="708"/>
          <w:tab w:val="num" w:pos="5664"/>
        </w:tabs>
        <w:ind w:left="5676" w:hanging="2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8C06384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5F2551"/>
    <w:multiLevelType w:val="hybridMultilevel"/>
    <w:tmpl w:val="9D1A9AE6"/>
    <w:numStyleLink w:val="Stileimportato4"/>
  </w:abstractNum>
  <w:abstractNum w:abstractNumId="14" w15:restartNumberingAfterBreak="0">
    <w:nsid w:val="5B602EB9"/>
    <w:multiLevelType w:val="hybridMultilevel"/>
    <w:tmpl w:val="CB168B02"/>
    <w:numStyleLink w:val="Stileimportato5"/>
  </w:abstractNum>
  <w:abstractNum w:abstractNumId="15" w15:restartNumberingAfterBreak="0">
    <w:nsid w:val="5D635ED1"/>
    <w:multiLevelType w:val="hybridMultilevel"/>
    <w:tmpl w:val="81C4CE04"/>
    <w:styleLink w:val="Stileimportato1"/>
    <w:lvl w:ilvl="0" w:tplc="1AC2E24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FCCBBE">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126C77A">
      <w:start w:val="1"/>
      <w:numFmt w:val="lowerRoman"/>
      <w:lvlText w:val="%3."/>
      <w:lvlJc w:val="left"/>
      <w:pPr>
        <w:tabs>
          <w:tab w:val="left" w:pos="708"/>
          <w:tab w:val="num" w:pos="2124"/>
        </w:tabs>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678375A">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4A8BD48">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BA8F874">
      <w:start w:val="1"/>
      <w:numFmt w:val="lowerRoman"/>
      <w:lvlText w:val="%6."/>
      <w:lvlJc w:val="left"/>
      <w:pPr>
        <w:tabs>
          <w:tab w:val="left" w:pos="708"/>
          <w:tab w:val="num" w:pos="4248"/>
        </w:tabs>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226E36E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EE011A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4B2886C">
      <w:start w:val="1"/>
      <w:numFmt w:val="lowerRoman"/>
      <w:lvlText w:val="%9."/>
      <w:lvlJc w:val="left"/>
      <w:pPr>
        <w:tabs>
          <w:tab w:val="left" w:pos="708"/>
          <w:tab w:val="num" w:pos="6372"/>
        </w:tabs>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3136DBF"/>
    <w:multiLevelType w:val="hybridMultilevel"/>
    <w:tmpl w:val="FEBE866E"/>
    <w:styleLink w:val="Stileimportato2"/>
    <w:lvl w:ilvl="0" w:tplc="8C2E36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16A6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E9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AF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810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0241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6DF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DC4F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BC04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09485A"/>
    <w:multiLevelType w:val="hybridMultilevel"/>
    <w:tmpl w:val="DCCAF330"/>
    <w:styleLink w:val="Puntielenco"/>
    <w:lvl w:ilvl="0" w:tplc="058ADE20">
      <w:start w:val="1"/>
      <w:numFmt w:val="bullet"/>
      <w:lvlText w:val="•"/>
      <w:lvlJc w:val="left"/>
      <w:pPr>
        <w:ind w:left="5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528A996">
      <w:start w:val="1"/>
      <w:numFmt w:val="bullet"/>
      <w:lvlText w:val="•"/>
      <w:lvlJc w:val="left"/>
      <w:pPr>
        <w:ind w:left="11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1AA042">
      <w:start w:val="1"/>
      <w:numFmt w:val="bullet"/>
      <w:lvlText w:val="•"/>
      <w:lvlJc w:val="left"/>
      <w:pPr>
        <w:ind w:left="17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A620C0E">
      <w:start w:val="1"/>
      <w:numFmt w:val="bullet"/>
      <w:lvlText w:val="•"/>
      <w:lvlJc w:val="left"/>
      <w:pPr>
        <w:ind w:left="23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86EFF70">
      <w:start w:val="1"/>
      <w:numFmt w:val="bullet"/>
      <w:lvlText w:val="•"/>
      <w:lvlJc w:val="left"/>
      <w:pPr>
        <w:ind w:left="29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ACC1766">
      <w:start w:val="1"/>
      <w:numFmt w:val="bullet"/>
      <w:lvlText w:val="•"/>
      <w:lvlJc w:val="left"/>
      <w:pPr>
        <w:ind w:left="35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95ABCD2">
      <w:start w:val="1"/>
      <w:numFmt w:val="bullet"/>
      <w:lvlText w:val="•"/>
      <w:lvlJc w:val="left"/>
      <w:pPr>
        <w:ind w:left="41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CC8347C">
      <w:start w:val="1"/>
      <w:numFmt w:val="bullet"/>
      <w:lvlText w:val="•"/>
      <w:lvlJc w:val="left"/>
      <w:pPr>
        <w:ind w:left="47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2A974A">
      <w:start w:val="1"/>
      <w:numFmt w:val="bullet"/>
      <w:lvlText w:val="•"/>
      <w:lvlJc w:val="left"/>
      <w:pPr>
        <w:ind w:left="534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6"/>
  </w:num>
  <w:num w:numId="3">
    <w:abstractNumId w:val="16"/>
  </w:num>
  <w:num w:numId="4">
    <w:abstractNumId w:val="3"/>
  </w:num>
  <w:num w:numId="5">
    <w:abstractNumId w:val="1"/>
  </w:num>
  <w:num w:numId="6">
    <w:abstractNumId w:val="4"/>
  </w:num>
  <w:num w:numId="7">
    <w:abstractNumId w:val="17"/>
  </w:num>
  <w:num w:numId="8">
    <w:abstractNumId w:val="7"/>
  </w:num>
  <w:num w:numId="9">
    <w:abstractNumId w:val="5"/>
  </w:num>
  <w:num w:numId="10">
    <w:abstractNumId w:val="13"/>
  </w:num>
  <w:num w:numId="11">
    <w:abstractNumId w:val="10"/>
  </w:num>
  <w:num w:numId="12">
    <w:abstractNumId w:val="14"/>
  </w:num>
  <w:num w:numId="13">
    <w:abstractNumId w:val="12"/>
  </w:num>
  <w:num w:numId="14">
    <w:abstractNumId w:val="9"/>
  </w:num>
  <w:num w:numId="15">
    <w:abstractNumId w:val="11"/>
  </w:num>
  <w:num w:numId="16">
    <w:abstractNumId w:val="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C8"/>
    <w:rsid w:val="00163E83"/>
    <w:rsid w:val="001A0512"/>
    <w:rsid w:val="00256F0B"/>
    <w:rsid w:val="002D0209"/>
    <w:rsid w:val="002F2CE8"/>
    <w:rsid w:val="003255C2"/>
    <w:rsid w:val="003A65CB"/>
    <w:rsid w:val="003C04AE"/>
    <w:rsid w:val="004136FF"/>
    <w:rsid w:val="00452EC5"/>
    <w:rsid w:val="004A2003"/>
    <w:rsid w:val="004C2474"/>
    <w:rsid w:val="004F3355"/>
    <w:rsid w:val="006002D2"/>
    <w:rsid w:val="00716B72"/>
    <w:rsid w:val="0073303E"/>
    <w:rsid w:val="00753BE6"/>
    <w:rsid w:val="00783EE8"/>
    <w:rsid w:val="007859BC"/>
    <w:rsid w:val="007C3521"/>
    <w:rsid w:val="007D1F63"/>
    <w:rsid w:val="008A4F12"/>
    <w:rsid w:val="009261A2"/>
    <w:rsid w:val="00941447"/>
    <w:rsid w:val="009A5909"/>
    <w:rsid w:val="009A5BE4"/>
    <w:rsid w:val="009E6EE6"/>
    <w:rsid w:val="00A00912"/>
    <w:rsid w:val="00A15289"/>
    <w:rsid w:val="00A23582"/>
    <w:rsid w:val="00A31E8F"/>
    <w:rsid w:val="00A70345"/>
    <w:rsid w:val="00AD6EDD"/>
    <w:rsid w:val="00AE212E"/>
    <w:rsid w:val="00B6794E"/>
    <w:rsid w:val="00BA47F9"/>
    <w:rsid w:val="00BA5E8B"/>
    <w:rsid w:val="00BB2016"/>
    <w:rsid w:val="00BC0C32"/>
    <w:rsid w:val="00BD57E8"/>
    <w:rsid w:val="00BF4194"/>
    <w:rsid w:val="00C00477"/>
    <w:rsid w:val="00C11585"/>
    <w:rsid w:val="00C6084D"/>
    <w:rsid w:val="00CD4A89"/>
    <w:rsid w:val="00D44E24"/>
    <w:rsid w:val="00E42447"/>
    <w:rsid w:val="00E746C8"/>
    <w:rsid w:val="00F22721"/>
    <w:rsid w:val="00F951F1"/>
    <w:rsid w:val="00F96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23A5A"/>
  <w15:docId w15:val="{2184273A-ABF8-964F-90EE-CEBE9B8A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kern w:val="1"/>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Corpotesto">
    <w:name w:val="Body Text"/>
    <w:pPr>
      <w:suppressAutoHyphens/>
      <w:spacing w:after="140" w:line="288" w:lineRule="auto"/>
    </w:pPr>
    <w:rPr>
      <w:rFonts w:cs="Arial Unicode MS"/>
      <w:color w:val="000000"/>
      <w:kern w:val="1"/>
      <w:sz w:val="24"/>
      <w:szCs w:val="24"/>
      <w:u w:color="000000"/>
    </w:rPr>
  </w:style>
  <w:style w:type="paragraph" w:customStyle="1" w:styleId="Default">
    <w:name w:val="Default"/>
    <w:pPr>
      <w:suppressAutoHyphens/>
      <w:jc w:val="both"/>
    </w:pPr>
    <w:rPr>
      <w:rFonts w:ascii="Calibri" w:hAnsi="Calibri" w:cs="Arial Unicode MS"/>
      <w:color w:val="000000"/>
      <w:kern w:val="1"/>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Puntielenco">
    <w:name w:val="Punti elenco"/>
    <w:pPr>
      <w:numPr>
        <w:numId w:val="7"/>
      </w:numPr>
    </w:pPr>
  </w:style>
  <w:style w:type="numbering" w:customStyle="1" w:styleId="Stileimportato4">
    <w:name w:val="Stile importato 4"/>
    <w:pPr>
      <w:numPr>
        <w:numId w:val="9"/>
      </w:numPr>
    </w:pPr>
  </w:style>
  <w:style w:type="numbering" w:customStyle="1" w:styleId="Stileimportato5">
    <w:name w:val="Stile importato 5"/>
    <w:pPr>
      <w:numPr>
        <w:numId w:val="11"/>
      </w:numPr>
    </w:pPr>
  </w:style>
  <w:style w:type="paragraph" w:customStyle="1" w:styleId="DidefaultA">
    <w:name w:val="Di default A"/>
    <w:pPr>
      <w:suppressAutoHyphens/>
    </w:pPr>
    <w:rPr>
      <w:rFonts w:ascii="Helvetica Neue" w:eastAsia="Helvetica Neue" w:hAnsi="Helvetica Neue" w:cs="Helvetica Neue"/>
      <w:color w:val="000000"/>
      <w:sz w:val="22"/>
      <w:szCs w:val="22"/>
      <w:u w:color="000000"/>
    </w:rPr>
  </w:style>
  <w:style w:type="numbering" w:customStyle="1" w:styleId="Stileimportato6">
    <w:name w:val="Stile importato 6"/>
    <w:pPr>
      <w:numPr>
        <w:numId w:val="13"/>
      </w:numPr>
    </w:pPr>
  </w:style>
  <w:style w:type="numbering" w:customStyle="1" w:styleId="Stileimportato7">
    <w:name w:val="Stile importato 7"/>
    <w:pPr>
      <w:numPr>
        <w:numId w:val="15"/>
      </w:numPr>
    </w:pPr>
  </w:style>
  <w:style w:type="numbering" w:customStyle="1" w:styleId="Stileimportato8">
    <w:name w:val="Stile importato 8"/>
    <w:pPr>
      <w:numPr>
        <w:numId w:val="17"/>
      </w:numPr>
    </w:pPr>
  </w:style>
  <w:style w:type="paragraph" w:styleId="Pidipagina">
    <w:name w:val="footer"/>
    <w:basedOn w:val="Normale"/>
    <w:link w:val="PidipaginaCarattere"/>
    <w:uiPriority w:val="99"/>
    <w:unhideWhenUsed/>
    <w:rsid w:val="00BC0C32"/>
    <w:pPr>
      <w:tabs>
        <w:tab w:val="center" w:pos="4819"/>
        <w:tab w:val="right" w:pos="9638"/>
      </w:tabs>
    </w:pPr>
  </w:style>
  <w:style w:type="character" w:customStyle="1" w:styleId="PidipaginaCarattere">
    <w:name w:val="Piè di pagina Carattere"/>
    <w:basedOn w:val="Carpredefinitoparagrafo"/>
    <w:link w:val="Pidipagina"/>
    <w:uiPriority w:val="99"/>
    <w:rsid w:val="00BC0C32"/>
    <w:rPr>
      <w:rFonts w:cs="Arial Unicode MS"/>
      <w:color w:val="000000"/>
      <w:kern w:val="1"/>
      <w:sz w:val="24"/>
      <w:szCs w:val="24"/>
      <w:u w:color="000000"/>
    </w:rPr>
  </w:style>
  <w:style w:type="character" w:styleId="Rimandocommento">
    <w:name w:val="annotation reference"/>
    <w:basedOn w:val="Carpredefinitoparagrafo"/>
    <w:uiPriority w:val="99"/>
    <w:semiHidden/>
    <w:unhideWhenUsed/>
    <w:rsid w:val="009261A2"/>
    <w:rPr>
      <w:sz w:val="16"/>
      <w:szCs w:val="16"/>
    </w:rPr>
  </w:style>
  <w:style w:type="paragraph" w:styleId="Testocommento">
    <w:name w:val="annotation text"/>
    <w:basedOn w:val="Normale"/>
    <w:link w:val="TestocommentoCarattere"/>
    <w:uiPriority w:val="99"/>
    <w:semiHidden/>
    <w:unhideWhenUsed/>
    <w:rsid w:val="009261A2"/>
    <w:rPr>
      <w:sz w:val="20"/>
      <w:szCs w:val="20"/>
    </w:rPr>
  </w:style>
  <w:style w:type="character" w:customStyle="1" w:styleId="TestocommentoCarattere">
    <w:name w:val="Testo commento Carattere"/>
    <w:basedOn w:val="Carpredefinitoparagrafo"/>
    <w:link w:val="Testocommento"/>
    <w:uiPriority w:val="99"/>
    <w:semiHidden/>
    <w:rsid w:val="009261A2"/>
    <w:rPr>
      <w:rFonts w:cs="Arial Unicode MS"/>
      <w:color w:val="000000"/>
      <w:kern w:val="1"/>
      <w:u w:color="000000"/>
    </w:rPr>
  </w:style>
  <w:style w:type="paragraph" w:styleId="Soggettocommento">
    <w:name w:val="annotation subject"/>
    <w:basedOn w:val="Testocommento"/>
    <w:next w:val="Testocommento"/>
    <w:link w:val="SoggettocommentoCarattere"/>
    <w:uiPriority w:val="99"/>
    <w:semiHidden/>
    <w:unhideWhenUsed/>
    <w:rsid w:val="009261A2"/>
    <w:rPr>
      <w:b/>
      <w:bCs/>
    </w:rPr>
  </w:style>
  <w:style w:type="character" w:customStyle="1" w:styleId="SoggettocommentoCarattere">
    <w:name w:val="Soggetto commento Carattere"/>
    <w:basedOn w:val="TestocommentoCarattere"/>
    <w:link w:val="Soggettocommento"/>
    <w:uiPriority w:val="99"/>
    <w:semiHidden/>
    <w:rsid w:val="009261A2"/>
    <w:rPr>
      <w:rFonts w:cs="Arial Unicode MS"/>
      <w:b/>
      <w:bCs/>
      <w:color w:val="000000"/>
      <w:kern w:val="1"/>
      <w:u w:color="000000"/>
    </w:rPr>
  </w:style>
  <w:style w:type="paragraph" w:styleId="Testofumetto">
    <w:name w:val="Balloon Text"/>
    <w:basedOn w:val="Normale"/>
    <w:link w:val="TestofumettoCarattere"/>
    <w:uiPriority w:val="99"/>
    <w:semiHidden/>
    <w:unhideWhenUsed/>
    <w:rsid w:val="009261A2"/>
    <w:rPr>
      <w:sz w:val="18"/>
      <w:szCs w:val="18"/>
    </w:rPr>
  </w:style>
  <w:style w:type="character" w:customStyle="1" w:styleId="TestofumettoCarattere">
    <w:name w:val="Testo fumetto Carattere"/>
    <w:basedOn w:val="Carpredefinitoparagrafo"/>
    <w:link w:val="Testofumetto"/>
    <w:uiPriority w:val="99"/>
    <w:semiHidden/>
    <w:rsid w:val="009261A2"/>
    <w:rPr>
      <w:rFonts w:cs="Arial Unicode MS"/>
      <w:color w:val="000000"/>
      <w:kern w:val="1"/>
      <w:sz w:val="18"/>
      <w:szCs w:val="18"/>
      <w:u w:color="000000"/>
    </w:rPr>
  </w:style>
  <w:style w:type="paragraph" w:styleId="Revisione">
    <w:name w:val="Revision"/>
    <w:hidden/>
    <w:uiPriority w:val="99"/>
    <w:semiHidden/>
    <w:rsid w:val="003C04AE"/>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8B77-750F-4229-AA10-F2FA596C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8484</Characters>
  <Application>Microsoft Office Word</Application>
  <DocSecurity>0</DocSecurity>
  <Lines>95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Fabio Togni</cp:lastModifiedBy>
  <cp:revision>2</cp:revision>
  <dcterms:created xsi:type="dcterms:W3CDTF">2021-12-07T08:10:00Z</dcterms:created>
  <dcterms:modified xsi:type="dcterms:W3CDTF">2021-12-07T08:10:00Z</dcterms:modified>
</cp:coreProperties>
</file>